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39" w:rsidRPr="0081162B" w:rsidRDefault="00A06939" w:rsidP="00A06939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r w:rsidRPr="0081162B">
        <w:rPr>
          <w:rFonts w:ascii="Arial" w:hAnsi="Arial" w:cs="Arial"/>
          <w:b w:val="0"/>
          <w:sz w:val="20"/>
          <w:szCs w:val="20"/>
        </w:rPr>
        <w:t>ТФ-2108-40/6</w:t>
      </w:r>
    </w:p>
    <w:p w:rsidR="00D61017" w:rsidRPr="0081162B" w:rsidRDefault="00D61017">
      <w:pPr>
        <w:rPr>
          <w:rFonts w:cs="Arial"/>
          <w:sz w:val="20"/>
          <w:szCs w:val="20"/>
        </w:rPr>
      </w:pPr>
    </w:p>
    <w:p w:rsidR="00A06939" w:rsidRPr="0081162B" w:rsidRDefault="00A06939">
      <w:pPr>
        <w:rPr>
          <w:rFonts w:cs="Arial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68A2" w:rsidRPr="0081162B" w:rsidTr="00371DC7">
        <w:tc>
          <w:tcPr>
            <w:tcW w:w="9854" w:type="dxa"/>
          </w:tcPr>
          <w:p w:rsidR="001468A2" w:rsidRPr="0081162B" w:rsidRDefault="001468A2" w:rsidP="00A33D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162B">
              <w:rPr>
                <w:rFonts w:cs="Arial"/>
                <w:b/>
                <w:sz w:val="20"/>
                <w:szCs w:val="20"/>
              </w:rPr>
              <w:t>Заявление об услови</w:t>
            </w:r>
            <w:bookmarkStart w:id="0" w:name="_GoBack"/>
            <w:bookmarkEnd w:id="0"/>
            <w:r w:rsidRPr="0081162B">
              <w:rPr>
                <w:rFonts w:cs="Arial"/>
                <w:b/>
                <w:sz w:val="20"/>
                <w:szCs w:val="20"/>
              </w:rPr>
              <w:t>ях брокерского обслуживания на рынке ценных бумаг</w:t>
            </w:r>
          </w:p>
        </w:tc>
      </w:tr>
      <w:tr w:rsidR="001468A2" w:rsidRPr="0081162B" w:rsidTr="00371DC7">
        <w:tc>
          <w:tcPr>
            <w:tcW w:w="9854" w:type="dxa"/>
          </w:tcPr>
          <w:p w:rsidR="00641431" w:rsidRPr="0081162B" w:rsidRDefault="00641431" w:rsidP="00A33D00">
            <w:pPr>
              <w:rPr>
                <w:rFonts w:cs="Arial"/>
                <w:sz w:val="20"/>
                <w:szCs w:val="20"/>
              </w:rPr>
            </w:pPr>
          </w:p>
          <w:p w:rsidR="001468A2" w:rsidRPr="0081162B" w:rsidRDefault="001468A2" w:rsidP="00A33D00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 xml:space="preserve">«___» _____________________  _____ г. </w:t>
            </w:r>
          </w:p>
        </w:tc>
      </w:tr>
      <w:tr w:rsidR="001468A2" w:rsidRPr="0081162B" w:rsidTr="00371DC7">
        <w:tc>
          <w:tcPr>
            <w:tcW w:w="9854" w:type="dxa"/>
          </w:tcPr>
          <w:p w:rsidR="0004361E" w:rsidRPr="0081162B" w:rsidRDefault="0004361E" w:rsidP="00A33D00">
            <w:pPr>
              <w:rPr>
                <w:rFonts w:cs="Arial"/>
                <w:sz w:val="20"/>
                <w:szCs w:val="20"/>
              </w:rPr>
            </w:pPr>
          </w:p>
          <w:p w:rsidR="00952F81" w:rsidRPr="0081162B" w:rsidRDefault="001468A2" w:rsidP="00A33D00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cs="Arial"/>
                <w:sz w:val="20"/>
                <w:szCs w:val="20"/>
              </w:rPr>
            </w:r>
            <w:r w:rsidR="005C6DD0">
              <w:rPr>
                <w:rFonts w:cs="Arial"/>
                <w:sz w:val="20"/>
                <w:szCs w:val="20"/>
              </w:rPr>
              <w:fldChar w:fldCharType="separate"/>
            </w:r>
            <w:r w:rsidRPr="0081162B">
              <w:rPr>
                <w:rFonts w:cs="Arial"/>
                <w:sz w:val="20"/>
                <w:szCs w:val="20"/>
              </w:rPr>
              <w:fldChar w:fldCharType="end"/>
            </w:r>
            <w:r w:rsidR="00952F81" w:rsidRPr="0081162B">
              <w:rPr>
                <w:rFonts w:cs="Arial"/>
                <w:sz w:val="20"/>
                <w:szCs w:val="20"/>
              </w:rPr>
              <w:t xml:space="preserve"> Заключение                                                                                                       </w:t>
            </w:r>
            <w:r w:rsidR="00952F81" w:rsidRPr="0081162B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F81" w:rsidRPr="008116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cs="Arial"/>
                <w:sz w:val="20"/>
                <w:szCs w:val="20"/>
              </w:rPr>
            </w:r>
            <w:r w:rsidR="005C6DD0">
              <w:rPr>
                <w:rFonts w:cs="Arial"/>
                <w:sz w:val="20"/>
                <w:szCs w:val="20"/>
              </w:rPr>
              <w:fldChar w:fldCharType="separate"/>
            </w:r>
            <w:r w:rsidR="00952F81" w:rsidRPr="0081162B">
              <w:rPr>
                <w:rFonts w:cs="Arial"/>
                <w:sz w:val="20"/>
                <w:szCs w:val="20"/>
              </w:rPr>
              <w:fldChar w:fldCharType="end"/>
            </w:r>
            <w:r w:rsidR="00952F81" w:rsidRPr="0081162B">
              <w:rPr>
                <w:rFonts w:cs="Arial"/>
                <w:sz w:val="20"/>
                <w:szCs w:val="20"/>
              </w:rPr>
              <w:t xml:space="preserve"> Изменение условий</w:t>
            </w:r>
          </w:p>
          <w:p w:rsidR="00B9369E" w:rsidRPr="0081162B" w:rsidRDefault="001468A2" w:rsidP="00952F81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договора о брокерском обслуживании</w:t>
            </w:r>
            <w:r w:rsidRPr="0081162B">
              <w:rPr>
                <w:rFonts w:cs="Arial"/>
                <w:sz w:val="20"/>
                <w:szCs w:val="20"/>
              </w:rPr>
              <w:tab/>
              <w:t xml:space="preserve">   </w:t>
            </w:r>
            <w:r w:rsidR="00952F81" w:rsidRPr="0081162B">
              <w:rPr>
                <w:rFonts w:cs="Arial"/>
                <w:sz w:val="20"/>
                <w:szCs w:val="20"/>
              </w:rPr>
              <w:t xml:space="preserve">    </w:t>
            </w:r>
          </w:p>
          <w:p w:rsidR="00B9369E" w:rsidRPr="0081162B" w:rsidRDefault="00B9369E" w:rsidP="00952F81">
            <w:pPr>
              <w:rPr>
                <w:rFonts w:cs="Arial"/>
                <w:sz w:val="20"/>
                <w:szCs w:val="20"/>
              </w:rPr>
            </w:pPr>
          </w:p>
          <w:p w:rsidR="001468A2" w:rsidRPr="0081162B" w:rsidRDefault="00952F81" w:rsidP="00952F81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Регистрационный код ИНВЕСТОРА: ______________</w:t>
            </w:r>
          </w:p>
        </w:tc>
      </w:tr>
      <w:tr w:rsidR="001468A2" w:rsidRPr="0081162B" w:rsidTr="00371DC7">
        <w:tc>
          <w:tcPr>
            <w:tcW w:w="9854" w:type="dxa"/>
          </w:tcPr>
          <w:p w:rsidR="001468A2" w:rsidRPr="0081162B" w:rsidRDefault="001468A2" w:rsidP="00952F81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952F81" w:rsidRPr="0081162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68A2" w:rsidRPr="0081162B" w:rsidTr="00371DC7">
        <w:tc>
          <w:tcPr>
            <w:tcW w:w="9854" w:type="dxa"/>
            <w:tcBorders>
              <w:bottom w:val="single" w:sz="4" w:space="0" w:color="auto"/>
            </w:tcBorders>
          </w:tcPr>
          <w:p w:rsidR="001468A2" w:rsidRPr="0081162B" w:rsidRDefault="001468A2" w:rsidP="001468A2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Настоящим</w:t>
            </w:r>
          </w:p>
        </w:tc>
      </w:tr>
      <w:tr w:rsidR="001468A2" w:rsidRPr="0081162B" w:rsidTr="00371DC7">
        <w:tc>
          <w:tcPr>
            <w:tcW w:w="9854" w:type="dxa"/>
            <w:tcBorders>
              <w:top w:val="single" w:sz="4" w:space="0" w:color="auto"/>
            </w:tcBorders>
          </w:tcPr>
          <w:p w:rsidR="001468A2" w:rsidRPr="0081162B" w:rsidRDefault="001468A2" w:rsidP="009C4A9D">
            <w:pPr>
              <w:pStyle w:val="Default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162B">
              <w:rPr>
                <w:rFonts w:ascii="Arial" w:hAnsi="Arial" w:cs="Arial"/>
                <w:sz w:val="16"/>
                <w:szCs w:val="20"/>
              </w:rPr>
              <w:t>(ФИО полностью – для физических лиц; полное наименование, ФИО представителя, на основании какого документа действует - для юридических лиц)</w:t>
            </w:r>
          </w:p>
        </w:tc>
      </w:tr>
      <w:tr w:rsidR="001468A2" w:rsidRPr="0081162B" w:rsidTr="00371DC7">
        <w:tc>
          <w:tcPr>
            <w:tcW w:w="9854" w:type="dxa"/>
            <w:tcBorders>
              <w:bottom w:val="single" w:sz="4" w:space="0" w:color="auto"/>
            </w:tcBorders>
          </w:tcPr>
          <w:p w:rsidR="001468A2" w:rsidRPr="0081162B" w:rsidRDefault="001468A2" w:rsidP="00A33D00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(далее – Инвестор)</w:t>
            </w:r>
          </w:p>
        </w:tc>
      </w:tr>
      <w:tr w:rsidR="001468A2" w:rsidRPr="0081162B" w:rsidTr="00371DC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468A2" w:rsidRPr="0081162B" w:rsidRDefault="001468A2" w:rsidP="001F3537">
            <w:pPr>
              <w:jc w:val="center"/>
              <w:rPr>
                <w:rFonts w:cs="Arial"/>
                <w:sz w:val="16"/>
                <w:szCs w:val="20"/>
              </w:rPr>
            </w:pPr>
            <w:r w:rsidRPr="0081162B">
              <w:rPr>
                <w:rFonts w:cs="Arial"/>
                <w:sz w:val="16"/>
                <w:szCs w:val="20"/>
              </w:rPr>
              <w:t>(паспортные данные, место регистрации - для физических лиц; ОГРН/Регистрационный номер – для юридических лиц)</w:t>
            </w:r>
          </w:p>
          <w:p w:rsidR="001F3537" w:rsidRPr="0081162B" w:rsidRDefault="001F3537" w:rsidP="001F35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68A2" w:rsidRPr="0081162B" w:rsidTr="00371DC7">
        <w:tc>
          <w:tcPr>
            <w:tcW w:w="9854" w:type="dxa"/>
            <w:tcBorders>
              <w:top w:val="single" w:sz="4" w:space="0" w:color="auto"/>
            </w:tcBorders>
          </w:tcPr>
          <w:p w:rsidR="00622048" w:rsidRPr="0081162B" w:rsidRDefault="001468A2" w:rsidP="00A33D00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Подтверждает выбор следующих условий брокерского обслуживания:</w:t>
            </w:r>
          </w:p>
        </w:tc>
      </w:tr>
      <w:tr w:rsidR="001F3537" w:rsidRPr="0081162B" w:rsidTr="00371DC7">
        <w:trPr>
          <w:trHeight w:val="257"/>
        </w:trPr>
        <w:tc>
          <w:tcPr>
            <w:tcW w:w="9854" w:type="dxa"/>
            <w:tcBorders>
              <w:top w:val="single" w:sz="4" w:space="0" w:color="auto"/>
            </w:tcBorders>
          </w:tcPr>
          <w:p w:rsidR="008818D6" w:rsidRPr="0081162B" w:rsidRDefault="008818D6" w:rsidP="009807BE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1F3537" w:rsidRPr="0081162B" w:rsidRDefault="001F3537" w:rsidP="009807BE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  <w:r w:rsidRPr="0081162B">
              <w:rPr>
                <w:rFonts w:cs="Arial"/>
                <w:b/>
                <w:sz w:val="20"/>
                <w:szCs w:val="20"/>
                <w:u w:val="single"/>
              </w:rPr>
              <w:t>Виды сделок:</w:t>
            </w:r>
          </w:p>
        </w:tc>
      </w:tr>
      <w:tr w:rsidR="00641431" w:rsidRPr="0081162B" w:rsidTr="00371DC7">
        <w:trPr>
          <w:trHeight w:val="537"/>
        </w:trPr>
        <w:tc>
          <w:tcPr>
            <w:tcW w:w="9854" w:type="dxa"/>
            <w:tcBorders>
              <w:bottom w:val="single" w:sz="4" w:space="0" w:color="auto"/>
            </w:tcBorders>
          </w:tcPr>
          <w:p w:rsidR="00641431" w:rsidRPr="0081162B" w:rsidRDefault="00641431" w:rsidP="009807BE">
            <w:pPr>
              <w:rPr>
                <w:rFonts w:cs="Arial"/>
                <w:sz w:val="20"/>
                <w:szCs w:val="20"/>
              </w:rPr>
            </w:pPr>
          </w:p>
          <w:p w:rsidR="000D52A2" w:rsidRPr="0081162B" w:rsidRDefault="000D52A2" w:rsidP="000D52A2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cs="Arial"/>
                <w:sz w:val="20"/>
                <w:szCs w:val="20"/>
              </w:rPr>
            </w:r>
            <w:r w:rsidR="005C6DD0">
              <w:rPr>
                <w:rFonts w:cs="Arial"/>
                <w:sz w:val="20"/>
                <w:szCs w:val="20"/>
              </w:rPr>
              <w:fldChar w:fldCharType="separate"/>
            </w:r>
            <w:r w:rsidRPr="0081162B">
              <w:rPr>
                <w:rFonts w:cs="Arial"/>
                <w:sz w:val="20"/>
                <w:szCs w:val="20"/>
              </w:rPr>
              <w:fldChar w:fldCharType="end"/>
            </w:r>
            <w:r w:rsidRPr="0081162B">
              <w:rPr>
                <w:rFonts w:cs="Arial"/>
                <w:sz w:val="20"/>
                <w:szCs w:val="20"/>
              </w:rPr>
              <w:t xml:space="preserve"> Заключение Сделок на фондовом рынке Московской Биржи </w:t>
            </w:r>
          </w:p>
          <w:p w:rsidR="000D52A2" w:rsidRPr="0081162B" w:rsidRDefault="000D52A2" w:rsidP="000D52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0D52A2" w:rsidRPr="0081162B" w:rsidRDefault="000D52A2" w:rsidP="000D52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1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ascii="Arial" w:hAnsi="Arial" w:cs="Arial"/>
                <w:sz w:val="20"/>
                <w:szCs w:val="20"/>
              </w:rPr>
            </w:r>
            <w:r w:rsidR="005C6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6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62B">
              <w:rPr>
                <w:rFonts w:ascii="Arial" w:hAnsi="Arial" w:cs="Arial"/>
                <w:bCs/>
                <w:color w:val="auto"/>
                <w:sz w:val="20"/>
                <w:szCs w:val="20"/>
              </w:rPr>
              <w:t>Заключение Сделок на Внебиржевом рынке</w:t>
            </w:r>
          </w:p>
          <w:p w:rsidR="000D52A2" w:rsidRPr="0081162B" w:rsidRDefault="000D52A2" w:rsidP="000D52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0D52A2" w:rsidRPr="0081162B" w:rsidRDefault="000D52A2" w:rsidP="000D52A2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cs="Arial"/>
                <w:sz w:val="20"/>
                <w:szCs w:val="20"/>
              </w:rPr>
            </w:r>
            <w:r w:rsidR="005C6DD0">
              <w:rPr>
                <w:rFonts w:cs="Arial"/>
                <w:sz w:val="20"/>
                <w:szCs w:val="20"/>
              </w:rPr>
              <w:fldChar w:fldCharType="separate"/>
            </w:r>
            <w:r w:rsidRPr="0081162B">
              <w:rPr>
                <w:rFonts w:cs="Arial"/>
                <w:sz w:val="20"/>
                <w:szCs w:val="20"/>
              </w:rPr>
              <w:fldChar w:fldCharType="end"/>
            </w:r>
            <w:r w:rsidRPr="0081162B">
              <w:rPr>
                <w:rFonts w:cs="Arial"/>
                <w:sz w:val="20"/>
                <w:szCs w:val="20"/>
              </w:rPr>
              <w:t xml:space="preserve"> Заключение Сделок РЕПО с Центральным контрагентом</w:t>
            </w:r>
            <w:r w:rsidRPr="0081162B">
              <w:rPr>
                <w:rStyle w:val="af"/>
                <w:rFonts w:cs="Arial"/>
                <w:sz w:val="20"/>
                <w:szCs w:val="20"/>
              </w:rPr>
              <w:footnoteReference w:id="1"/>
            </w:r>
            <w:r w:rsidRPr="0081162B">
              <w:rPr>
                <w:rFonts w:cs="Arial"/>
                <w:sz w:val="20"/>
                <w:szCs w:val="20"/>
              </w:rPr>
              <w:t xml:space="preserve"> на Московской бирже (тарифы только для юридических лиц)</w:t>
            </w:r>
          </w:p>
          <w:p w:rsidR="000D52A2" w:rsidRPr="0081162B" w:rsidRDefault="000D52A2" w:rsidP="000D52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D52A2" w:rsidRPr="0081162B" w:rsidRDefault="000D52A2" w:rsidP="000D52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1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ascii="Arial" w:hAnsi="Arial" w:cs="Arial"/>
                <w:sz w:val="20"/>
                <w:szCs w:val="20"/>
              </w:rPr>
            </w:r>
            <w:r w:rsidR="005C6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6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62B">
              <w:rPr>
                <w:rFonts w:ascii="Arial" w:hAnsi="Arial" w:cs="Arial"/>
                <w:color w:val="auto"/>
                <w:sz w:val="20"/>
                <w:szCs w:val="20"/>
              </w:rPr>
              <w:t>Заключение Сделок на срочном рынке Московской биржи</w:t>
            </w:r>
          </w:p>
          <w:p w:rsidR="00C5086A" w:rsidRPr="0081162B" w:rsidRDefault="00C5086A" w:rsidP="009614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86A" w:rsidRPr="0081162B" w:rsidTr="00371DC7">
        <w:trPr>
          <w:trHeight w:val="385"/>
        </w:trPr>
        <w:tc>
          <w:tcPr>
            <w:tcW w:w="9854" w:type="dxa"/>
            <w:tcBorders>
              <w:bottom w:val="single" w:sz="4" w:space="0" w:color="auto"/>
            </w:tcBorders>
          </w:tcPr>
          <w:p w:rsidR="00C5086A" w:rsidRPr="0081162B" w:rsidRDefault="00C5086A" w:rsidP="00C5086A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Инвестор настоящим подтверждает, что уведомлен Банком о рисках, связанных с осуществлением операций на рынке ценных бумаг, в том числе о рисках, связанных с приобретением иностранных ценных бумаг и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бумагам.</w:t>
            </w:r>
          </w:p>
          <w:p w:rsidR="00C5086A" w:rsidRPr="0081162B" w:rsidRDefault="00C5086A" w:rsidP="00FB37EA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Подписью на настоящем Заявлении Инвестор подтверждает ознакомление с Декларацией о рисках, связанных с приобретением иностранных ценных бумаг и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утвержденной в Банке</w:t>
            </w:r>
            <w:r w:rsidR="00FB37EA" w:rsidRPr="0081162B">
              <w:rPr>
                <w:rFonts w:cs="Arial"/>
                <w:sz w:val="20"/>
                <w:szCs w:val="20"/>
              </w:rPr>
              <w:t xml:space="preserve"> (ТФ-2108-31 и ТФ-2108-32 для физических лиц / ТФ-2108-33 и ТФ-2108-34 для юридических лиц)</w:t>
            </w:r>
            <w:r w:rsidRPr="0081162B">
              <w:rPr>
                <w:rFonts w:cs="Arial"/>
                <w:sz w:val="20"/>
                <w:szCs w:val="20"/>
              </w:rPr>
              <w:t>.</w:t>
            </w:r>
          </w:p>
        </w:tc>
      </w:tr>
      <w:tr w:rsidR="001F3537" w:rsidRPr="0081162B" w:rsidTr="00371DC7">
        <w:trPr>
          <w:trHeight w:val="255"/>
        </w:trPr>
        <w:tc>
          <w:tcPr>
            <w:tcW w:w="9854" w:type="dxa"/>
            <w:tcBorders>
              <w:top w:val="single" w:sz="4" w:space="0" w:color="auto"/>
            </w:tcBorders>
          </w:tcPr>
          <w:p w:rsidR="00C5086A" w:rsidRPr="0081162B" w:rsidRDefault="00C5086A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1F3537" w:rsidRPr="0081162B" w:rsidRDefault="00090D8C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  <w:r w:rsidRPr="0081162B">
              <w:rPr>
                <w:rFonts w:cs="Arial"/>
                <w:b/>
                <w:sz w:val="20"/>
                <w:szCs w:val="20"/>
                <w:u w:val="single"/>
                <w:lang w:val="en-US" w:eastAsia="ru-RU"/>
              </w:rPr>
              <w:t>QUIK</w:t>
            </w:r>
            <w:r w:rsidR="001F3537" w:rsidRPr="0081162B">
              <w:rPr>
                <w:rFonts w:cs="Arial"/>
                <w:b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1F3537" w:rsidRPr="0081162B" w:rsidTr="00371DC7">
        <w:trPr>
          <w:trHeight w:val="255"/>
        </w:trPr>
        <w:tc>
          <w:tcPr>
            <w:tcW w:w="9854" w:type="dxa"/>
            <w:tcBorders>
              <w:bottom w:val="single" w:sz="4" w:space="0" w:color="auto"/>
            </w:tcBorders>
          </w:tcPr>
          <w:p w:rsidR="00641431" w:rsidRPr="0081162B" w:rsidRDefault="00641431" w:rsidP="001F3537">
            <w:pPr>
              <w:rPr>
                <w:rFonts w:cs="Arial"/>
                <w:sz w:val="20"/>
                <w:szCs w:val="20"/>
              </w:rPr>
            </w:pPr>
          </w:p>
          <w:p w:rsidR="00D74E38" w:rsidRPr="0081162B" w:rsidRDefault="00D74E38" w:rsidP="00B9369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11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ascii="Arial" w:hAnsi="Arial" w:cs="Arial"/>
                <w:sz w:val="20"/>
                <w:szCs w:val="20"/>
              </w:rPr>
            </w:r>
            <w:r w:rsidR="005C6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6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537" w:rsidRPr="0081162B">
              <w:rPr>
                <w:rFonts w:ascii="Arial" w:hAnsi="Arial" w:cs="Arial"/>
                <w:bCs/>
                <w:color w:val="auto"/>
                <w:sz w:val="20"/>
                <w:szCs w:val="20"/>
              </w:rPr>
              <w:t>Использование для проведения операций Рабочего места QUIK</w:t>
            </w:r>
          </w:p>
          <w:p w:rsidR="00952F81" w:rsidRPr="0081162B" w:rsidRDefault="00952F81" w:rsidP="00B9369E">
            <w:pPr>
              <w:pStyle w:val="Defaul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807BE" w:rsidRPr="0081162B" w:rsidTr="00371DC7">
        <w:trPr>
          <w:trHeight w:val="255"/>
        </w:trPr>
        <w:tc>
          <w:tcPr>
            <w:tcW w:w="9854" w:type="dxa"/>
            <w:tcBorders>
              <w:top w:val="single" w:sz="4" w:space="0" w:color="auto"/>
            </w:tcBorders>
          </w:tcPr>
          <w:p w:rsidR="00684731" w:rsidRPr="0081162B" w:rsidRDefault="00684731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9807BE" w:rsidRPr="0081162B" w:rsidRDefault="00CC430E" w:rsidP="00A33D00">
            <w:pPr>
              <w:rPr>
                <w:rFonts w:cs="Arial"/>
                <w:b/>
                <w:sz w:val="20"/>
                <w:szCs w:val="20"/>
                <w:u w:val="single"/>
                <w:lang w:eastAsia="ru-RU"/>
              </w:rPr>
            </w:pPr>
            <w:r w:rsidRPr="0081162B">
              <w:rPr>
                <w:rFonts w:cs="Arial"/>
                <w:b/>
                <w:sz w:val="20"/>
                <w:szCs w:val="20"/>
                <w:u w:val="single"/>
                <w:lang w:eastAsia="ru-RU"/>
              </w:rPr>
              <w:t>Депозитарный учет:</w:t>
            </w:r>
          </w:p>
        </w:tc>
      </w:tr>
      <w:tr w:rsidR="009807BE" w:rsidRPr="0081162B" w:rsidTr="00371DC7">
        <w:trPr>
          <w:trHeight w:val="1012"/>
        </w:trPr>
        <w:tc>
          <w:tcPr>
            <w:tcW w:w="9854" w:type="dxa"/>
            <w:tcBorders>
              <w:bottom w:val="single" w:sz="4" w:space="0" w:color="auto"/>
            </w:tcBorders>
          </w:tcPr>
          <w:p w:rsidR="00641431" w:rsidRPr="0081162B" w:rsidRDefault="00641431" w:rsidP="00CC430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30E" w:rsidRPr="0081162B" w:rsidRDefault="00B9369E" w:rsidP="00684731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1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ascii="Arial" w:hAnsi="Arial" w:cs="Arial"/>
                <w:sz w:val="20"/>
                <w:szCs w:val="20"/>
              </w:rPr>
            </w:r>
            <w:r w:rsidR="005C6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6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30E" w:rsidRPr="0081162B">
              <w:rPr>
                <w:rFonts w:ascii="Arial" w:hAnsi="Arial" w:cs="Arial"/>
                <w:bCs/>
                <w:sz w:val="20"/>
                <w:szCs w:val="20"/>
              </w:rPr>
              <w:t xml:space="preserve">Депозитарный учет в Депозитарии Банка </w:t>
            </w:r>
          </w:p>
          <w:p w:rsidR="003B6094" w:rsidRPr="0081162B" w:rsidRDefault="003B6094" w:rsidP="003B609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6094" w:rsidRPr="0081162B" w:rsidRDefault="00B9369E" w:rsidP="003B6094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1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ascii="Arial" w:hAnsi="Arial" w:cs="Arial"/>
                <w:sz w:val="20"/>
                <w:szCs w:val="20"/>
              </w:rPr>
            </w:r>
            <w:r w:rsidR="005C6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6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094" w:rsidRPr="0081162B">
              <w:rPr>
                <w:rFonts w:ascii="Arial" w:hAnsi="Arial" w:cs="Arial"/>
                <w:bCs/>
                <w:sz w:val="20"/>
                <w:szCs w:val="20"/>
              </w:rPr>
              <w:t xml:space="preserve">Депозитарный учет в </w:t>
            </w:r>
            <w:r w:rsidR="003B6094" w:rsidRPr="0081162B">
              <w:rPr>
                <w:rFonts w:ascii="Arial" w:hAnsi="Arial" w:cs="Arial"/>
                <w:iCs/>
                <w:sz w:val="20"/>
                <w:szCs w:val="20"/>
              </w:rPr>
              <w:t xml:space="preserve">ООО «РБ Спецдепозитарий» </w:t>
            </w:r>
          </w:p>
          <w:p w:rsidR="00641431" w:rsidRPr="0081162B" w:rsidRDefault="00641431" w:rsidP="00CC430E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9369E" w:rsidRPr="0081162B" w:rsidRDefault="00B9369E" w:rsidP="00CC43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cs="Arial"/>
                <w:sz w:val="20"/>
                <w:szCs w:val="20"/>
              </w:rPr>
            </w:r>
            <w:r w:rsidR="005C6DD0">
              <w:rPr>
                <w:rFonts w:cs="Arial"/>
                <w:sz w:val="20"/>
                <w:szCs w:val="20"/>
              </w:rPr>
              <w:fldChar w:fldCharType="separate"/>
            </w:r>
            <w:r w:rsidRPr="0081162B">
              <w:rPr>
                <w:rFonts w:cs="Arial"/>
                <w:sz w:val="20"/>
                <w:szCs w:val="20"/>
              </w:rPr>
              <w:fldChar w:fldCharType="end"/>
            </w:r>
            <w:r w:rsidRPr="0081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30E" w:rsidRPr="0081162B">
              <w:rPr>
                <w:rFonts w:ascii="Arial" w:hAnsi="Arial" w:cs="Arial"/>
                <w:iCs/>
                <w:sz w:val="20"/>
                <w:szCs w:val="20"/>
              </w:rPr>
              <w:t xml:space="preserve">Депозитарный учет в </w:t>
            </w:r>
            <w:r w:rsidR="003B6094" w:rsidRPr="0081162B">
              <w:rPr>
                <w:rFonts w:ascii="Arial" w:hAnsi="Arial" w:cs="Arial"/>
                <w:iCs/>
                <w:sz w:val="20"/>
                <w:szCs w:val="20"/>
              </w:rPr>
              <w:t xml:space="preserve">Стороннем </w:t>
            </w:r>
            <w:r w:rsidR="00CC430E" w:rsidRPr="0081162B">
              <w:rPr>
                <w:rFonts w:ascii="Arial" w:hAnsi="Arial" w:cs="Arial"/>
                <w:iCs/>
                <w:sz w:val="20"/>
                <w:szCs w:val="20"/>
              </w:rPr>
              <w:t xml:space="preserve">депозитарии </w:t>
            </w:r>
          </w:p>
          <w:p w:rsidR="00DA1271" w:rsidRDefault="00DA1271" w:rsidP="009C4A9D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DA1271" w:rsidRDefault="00DA1271" w:rsidP="009C4A9D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DA1271" w:rsidRDefault="00DA1271" w:rsidP="009C4A9D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DA1271" w:rsidRDefault="00DA1271" w:rsidP="009C4A9D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DA1271" w:rsidRDefault="00DA1271" w:rsidP="009C4A9D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DA1271" w:rsidRDefault="00DA1271" w:rsidP="009C4A9D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662A5F" w:rsidRPr="0081162B" w:rsidRDefault="00662A5F" w:rsidP="009C4A9D">
            <w:pPr>
              <w:pStyle w:val="Default"/>
            </w:pPr>
          </w:p>
        </w:tc>
      </w:tr>
      <w:tr w:rsidR="00E34ABE" w:rsidRPr="0081162B" w:rsidTr="00371DC7">
        <w:trPr>
          <w:trHeight w:val="29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E34ABE" w:rsidRPr="0081162B" w:rsidRDefault="00CC430E" w:rsidP="00CC430E">
            <w:pPr>
              <w:jc w:val="center"/>
              <w:rPr>
                <w:rFonts w:cs="Arial"/>
                <w:b/>
                <w:sz w:val="18"/>
                <w:szCs w:val="20"/>
                <w:u w:val="single"/>
                <w:lang w:eastAsia="ru-RU"/>
              </w:rPr>
            </w:pPr>
            <w:r w:rsidRPr="0081162B">
              <w:rPr>
                <w:rFonts w:cs="Arial"/>
                <w:color w:val="000000"/>
                <w:sz w:val="18"/>
                <w:szCs w:val="20"/>
                <w:lang w:eastAsia="ru-RU"/>
              </w:rPr>
              <w:lastRenderedPageBreak/>
              <w:t xml:space="preserve">(наименование депозитария / </w:t>
            </w:r>
            <w:r w:rsidRPr="0081162B">
              <w:rPr>
                <w:rFonts w:cs="Arial"/>
                <w:iCs/>
                <w:sz w:val="18"/>
                <w:szCs w:val="20"/>
              </w:rPr>
              <w:t>стороннего депозитария)</w:t>
            </w:r>
          </w:p>
        </w:tc>
      </w:tr>
      <w:tr w:rsidR="001468A2" w:rsidRPr="0081162B" w:rsidTr="00371DC7">
        <w:tc>
          <w:tcPr>
            <w:tcW w:w="9854" w:type="dxa"/>
            <w:tcBorders>
              <w:top w:val="single" w:sz="4" w:space="0" w:color="auto"/>
            </w:tcBorders>
          </w:tcPr>
          <w:p w:rsidR="001468A2" w:rsidRPr="0081162B" w:rsidRDefault="001468A2" w:rsidP="00052CEC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</w:t>
            </w:r>
            <w:r w:rsidR="003E109A" w:rsidRPr="0081162B">
              <w:rPr>
                <w:rFonts w:cs="Arial"/>
                <w:sz w:val="20"/>
                <w:szCs w:val="20"/>
              </w:rPr>
              <w:t>м</w:t>
            </w:r>
            <w:r w:rsidRPr="0081162B">
              <w:rPr>
                <w:rFonts w:cs="Arial"/>
                <w:sz w:val="20"/>
                <w:szCs w:val="20"/>
              </w:rPr>
              <w:t xml:space="preserve"> </w:t>
            </w:r>
            <w:r w:rsidR="003E109A" w:rsidRPr="0081162B">
              <w:rPr>
                <w:rFonts w:cs="Arial"/>
                <w:sz w:val="20"/>
                <w:szCs w:val="20"/>
              </w:rPr>
              <w:t>Заявлении</w:t>
            </w:r>
            <w:r w:rsidRPr="0081162B">
              <w:rPr>
                <w:rFonts w:cs="Arial"/>
                <w:sz w:val="20"/>
                <w:szCs w:val="20"/>
              </w:rPr>
              <w:t>, осуществляется Банком</w:t>
            </w:r>
            <w:r w:rsidR="00052CEC" w:rsidRPr="0081162B">
              <w:rPr>
                <w:rFonts w:cs="Arial"/>
                <w:sz w:val="20"/>
                <w:szCs w:val="20"/>
              </w:rPr>
              <w:t xml:space="preserve"> </w:t>
            </w:r>
            <w:r w:rsidRPr="0081162B">
              <w:rPr>
                <w:rFonts w:cs="Arial"/>
                <w:sz w:val="20"/>
                <w:szCs w:val="20"/>
              </w:rPr>
              <w:t>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81162B">
              <w:rPr>
                <w:rStyle w:val="af"/>
                <w:rFonts w:cs="Arial"/>
                <w:sz w:val="20"/>
                <w:szCs w:val="20"/>
              </w:rPr>
              <w:footnoteReference w:id="2"/>
            </w:r>
            <w:r w:rsidRPr="0081162B">
              <w:rPr>
                <w:rFonts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</w:tr>
      <w:tr w:rsidR="001468A2" w:rsidRPr="0081162B" w:rsidTr="00371DC7">
        <w:tc>
          <w:tcPr>
            <w:tcW w:w="9854" w:type="dxa"/>
          </w:tcPr>
          <w:p w:rsidR="001F3537" w:rsidRPr="0081162B" w:rsidRDefault="001F3537" w:rsidP="00A33D00">
            <w:pPr>
              <w:rPr>
                <w:rFonts w:cs="Arial"/>
                <w:sz w:val="20"/>
                <w:szCs w:val="20"/>
              </w:rPr>
            </w:pPr>
          </w:p>
          <w:p w:rsidR="001468A2" w:rsidRPr="0081162B" w:rsidRDefault="001468A2" w:rsidP="00A33D00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 xml:space="preserve">Подпись </w:t>
            </w:r>
            <w:r w:rsidRPr="0081162B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cs="Arial"/>
                <w:sz w:val="20"/>
                <w:szCs w:val="20"/>
              </w:rPr>
            </w:r>
            <w:r w:rsidR="005C6DD0">
              <w:rPr>
                <w:rFonts w:cs="Arial"/>
                <w:sz w:val="20"/>
                <w:szCs w:val="20"/>
              </w:rPr>
              <w:fldChar w:fldCharType="separate"/>
            </w:r>
            <w:r w:rsidRPr="0081162B">
              <w:rPr>
                <w:rFonts w:cs="Arial"/>
                <w:sz w:val="20"/>
                <w:szCs w:val="20"/>
              </w:rPr>
              <w:fldChar w:fldCharType="end"/>
            </w:r>
            <w:r w:rsidRPr="0081162B">
              <w:rPr>
                <w:rFonts w:cs="Arial"/>
                <w:sz w:val="20"/>
                <w:szCs w:val="20"/>
              </w:rPr>
              <w:t xml:space="preserve"> ИНВЕСТОРА / </w:t>
            </w:r>
            <w:r w:rsidRPr="0081162B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6DD0">
              <w:rPr>
                <w:rFonts w:cs="Arial"/>
                <w:sz w:val="20"/>
                <w:szCs w:val="20"/>
              </w:rPr>
            </w:r>
            <w:r w:rsidR="005C6DD0">
              <w:rPr>
                <w:rFonts w:cs="Arial"/>
                <w:sz w:val="20"/>
                <w:szCs w:val="20"/>
              </w:rPr>
              <w:fldChar w:fldCharType="separate"/>
            </w:r>
            <w:r w:rsidRPr="0081162B">
              <w:rPr>
                <w:rFonts w:cs="Arial"/>
                <w:sz w:val="20"/>
                <w:szCs w:val="20"/>
              </w:rPr>
              <w:fldChar w:fldCharType="end"/>
            </w:r>
            <w:r w:rsidRPr="0081162B">
              <w:rPr>
                <w:rFonts w:cs="Arial"/>
                <w:sz w:val="20"/>
                <w:szCs w:val="20"/>
              </w:rPr>
              <w:t xml:space="preserve"> представителя ИНВЕСТОРА:</w:t>
            </w:r>
          </w:p>
        </w:tc>
      </w:tr>
      <w:tr w:rsidR="001468A2" w:rsidRPr="0081162B" w:rsidTr="00371DC7">
        <w:tc>
          <w:tcPr>
            <w:tcW w:w="9854" w:type="dxa"/>
          </w:tcPr>
          <w:p w:rsidR="001468A2" w:rsidRPr="0081162B" w:rsidRDefault="001468A2" w:rsidP="00286F63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 xml:space="preserve">_________________________________________/_______________________ </w:t>
            </w:r>
          </w:p>
        </w:tc>
      </w:tr>
      <w:tr w:rsidR="001468A2" w:rsidRPr="0081162B" w:rsidTr="00371DC7">
        <w:tc>
          <w:tcPr>
            <w:tcW w:w="9854" w:type="dxa"/>
          </w:tcPr>
          <w:p w:rsidR="001468A2" w:rsidRPr="0081162B" w:rsidRDefault="001468A2" w:rsidP="00A33D00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ab/>
            </w:r>
            <w:r w:rsidRPr="0081162B">
              <w:rPr>
                <w:rFonts w:cs="Arial"/>
                <w:sz w:val="18"/>
                <w:szCs w:val="20"/>
              </w:rPr>
              <w:t xml:space="preserve">           (ФИО полностью)                                               (подпись)</w:t>
            </w:r>
          </w:p>
        </w:tc>
      </w:tr>
      <w:tr w:rsidR="001468A2" w:rsidRPr="0081162B" w:rsidTr="007C42AD">
        <w:tc>
          <w:tcPr>
            <w:tcW w:w="9854" w:type="dxa"/>
          </w:tcPr>
          <w:p w:rsidR="001468A2" w:rsidRPr="0081162B" w:rsidRDefault="001468A2" w:rsidP="00A33D00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 xml:space="preserve">                                                               М.П.</w:t>
            </w:r>
            <w:r w:rsidRPr="0081162B">
              <w:rPr>
                <w:rStyle w:val="af"/>
                <w:rFonts w:cs="Arial"/>
                <w:sz w:val="20"/>
                <w:szCs w:val="20"/>
              </w:rPr>
              <w:t xml:space="preserve"> </w:t>
            </w:r>
            <w:r w:rsidRPr="0081162B">
              <w:rPr>
                <w:rFonts w:cs="Arial"/>
                <w:sz w:val="20"/>
                <w:szCs w:val="20"/>
              </w:rPr>
              <w:t>(при наличии)</w:t>
            </w:r>
          </w:p>
        </w:tc>
      </w:tr>
      <w:tr w:rsidR="007C42AD" w:rsidRPr="0081162B" w:rsidTr="007C42AD">
        <w:tc>
          <w:tcPr>
            <w:tcW w:w="9854" w:type="dxa"/>
            <w:tcBorders>
              <w:bottom w:val="single" w:sz="4" w:space="0" w:color="auto"/>
            </w:tcBorders>
          </w:tcPr>
          <w:p w:rsidR="007C42AD" w:rsidRPr="0081162B" w:rsidRDefault="007C42AD" w:rsidP="00A33D0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468A2" w:rsidRPr="0081162B" w:rsidTr="007C42AD">
        <w:tc>
          <w:tcPr>
            <w:tcW w:w="9854" w:type="dxa"/>
            <w:tcBorders>
              <w:top w:val="single" w:sz="4" w:space="0" w:color="auto"/>
            </w:tcBorders>
          </w:tcPr>
          <w:p w:rsidR="001468A2" w:rsidRPr="0081162B" w:rsidRDefault="001468A2" w:rsidP="00A33D0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1162B">
              <w:rPr>
                <w:rFonts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1468A2" w:rsidRPr="0081162B" w:rsidTr="00371DC7">
        <w:tc>
          <w:tcPr>
            <w:tcW w:w="9854" w:type="dxa"/>
          </w:tcPr>
          <w:p w:rsidR="001468A2" w:rsidRPr="0081162B" w:rsidRDefault="001468A2" w:rsidP="00286F63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 xml:space="preserve">Номер </w:t>
            </w:r>
            <w:r w:rsidR="00286F63" w:rsidRPr="0081162B">
              <w:rPr>
                <w:rFonts w:cs="Arial"/>
                <w:sz w:val="20"/>
                <w:szCs w:val="20"/>
              </w:rPr>
              <w:t>Заявления</w:t>
            </w:r>
            <w:r w:rsidRPr="0081162B">
              <w:rPr>
                <w:rFonts w:cs="Arial"/>
                <w:sz w:val="20"/>
                <w:szCs w:val="20"/>
              </w:rPr>
              <w:t xml:space="preserve"> - __________________________________________</w:t>
            </w:r>
          </w:p>
        </w:tc>
      </w:tr>
      <w:tr w:rsidR="001468A2" w:rsidRPr="0081162B" w:rsidTr="00371DC7">
        <w:tc>
          <w:tcPr>
            <w:tcW w:w="9854" w:type="dxa"/>
          </w:tcPr>
          <w:p w:rsidR="00662A5F" w:rsidRPr="0081162B" w:rsidRDefault="00662A5F" w:rsidP="00286F63">
            <w:pPr>
              <w:rPr>
                <w:rFonts w:cs="Arial"/>
                <w:sz w:val="20"/>
                <w:szCs w:val="20"/>
              </w:rPr>
            </w:pPr>
          </w:p>
          <w:p w:rsidR="001468A2" w:rsidRPr="0081162B" w:rsidRDefault="00286F63" w:rsidP="00286F63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Заявление</w:t>
            </w:r>
            <w:r w:rsidR="001468A2" w:rsidRPr="0081162B">
              <w:rPr>
                <w:rFonts w:cs="Arial"/>
                <w:sz w:val="20"/>
                <w:szCs w:val="20"/>
              </w:rPr>
              <w:t xml:space="preserve"> получен</w:t>
            </w:r>
            <w:r w:rsidRPr="0081162B">
              <w:rPr>
                <w:rFonts w:cs="Arial"/>
                <w:sz w:val="20"/>
                <w:szCs w:val="20"/>
              </w:rPr>
              <w:t>о</w:t>
            </w:r>
            <w:r w:rsidR="001468A2" w:rsidRPr="0081162B">
              <w:rPr>
                <w:rFonts w:cs="Arial"/>
                <w:sz w:val="20"/>
                <w:szCs w:val="20"/>
              </w:rPr>
              <w:t xml:space="preserve"> «___» _______________ ______ г.  в ____:____:____ московского времени</w:t>
            </w:r>
          </w:p>
        </w:tc>
      </w:tr>
      <w:tr w:rsidR="001468A2" w:rsidRPr="0081162B" w:rsidTr="00371DC7">
        <w:tc>
          <w:tcPr>
            <w:tcW w:w="9854" w:type="dxa"/>
          </w:tcPr>
          <w:p w:rsidR="00662A5F" w:rsidRPr="0081162B" w:rsidRDefault="00662A5F" w:rsidP="00286F63">
            <w:pPr>
              <w:rPr>
                <w:rFonts w:cs="Arial"/>
                <w:sz w:val="20"/>
                <w:szCs w:val="20"/>
              </w:rPr>
            </w:pPr>
          </w:p>
          <w:p w:rsidR="001468A2" w:rsidRPr="0081162B" w:rsidRDefault="00286F63" w:rsidP="00286F63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20"/>
                <w:szCs w:val="20"/>
              </w:rPr>
              <w:t>Заявление</w:t>
            </w:r>
            <w:r w:rsidR="001468A2" w:rsidRPr="0081162B">
              <w:rPr>
                <w:rFonts w:cs="Arial"/>
                <w:sz w:val="20"/>
                <w:szCs w:val="20"/>
              </w:rPr>
              <w:t xml:space="preserve"> зарегистрирова</w:t>
            </w:r>
            <w:r w:rsidRPr="0081162B">
              <w:rPr>
                <w:rFonts w:cs="Arial"/>
                <w:sz w:val="20"/>
                <w:szCs w:val="20"/>
              </w:rPr>
              <w:t>но</w:t>
            </w:r>
            <w:r w:rsidR="001468A2" w:rsidRPr="0081162B">
              <w:rPr>
                <w:rFonts w:cs="Arial"/>
                <w:sz w:val="20"/>
                <w:szCs w:val="20"/>
              </w:rPr>
              <w:t xml:space="preserve"> __________________________________ /_________________________</w:t>
            </w:r>
          </w:p>
        </w:tc>
      </w:tr>
      <w:tr w:rsidR="001468A2" w:rsidRPr="0081162B" w:rsidTr="00371DC7">
        <w:tc>
          <w:tcPr>
            <w:tcW w:w="9854" w:type="dxa"/>
          </w:tcPr>
          <w:p w:rsidR="001468A2" w:rsidRPr="0081162B" w:rsidRDefault="001468A2">
            <w:pPr>
              <w:rPr>
                <w:rFonts w:cs="Arial"/>
                <w:sz w:val="20"/>
                <w:szCs w:val="20"/>
              </w:rPr>
            </w:pPr>
            <w:r w:rsidRPr="0081162B">
              <w:rPr>
                <w:rFonts w:cs="Arial"/>
                <w:sz w:val="18"/>
                <w:szCs w:val="20"/>
              </w:rPr>
              <w:t xml:space="preserve">                                                (Код или Ф.И.О. </w:t>
            </w:r>
            <w:r w:rsidR="000849DC" w:rsidRPr="0081162B">
              <w:rPr>
                <w:rFonts w:cs="Arial"/>
                <w:sz w:val="18"/>
                <w:szCs w:val="20"/>
              </w:rPr>
              <w:t>работника</w:t>
            </w:r>
            <w:r w:rsidRPr="0081162B">
              <w:rPr>
                <w:rFonts w:cs="Arial"/>
                <w:sz w:val="18"/>
                <w:szCs w:val="20"/>
              </w:rPr>
              <w:t xml:space="preserve">)                      (подпись </w:t>
            </w:r>
            <w:r w:rsidR="000849DC" w:rsidRPr="0081162B">
              <w:rPr>
                <w:rFonts w:cs="Arial"/>
                <w:sz w:val="18"/>
                <w:szCs w:val="20"/>
              </w:rPr>
              <w:t>работника</w:t>
            </w:r>
            <w:r w:rsidRPr="0081162B">
              <w:rPr>
                <w:rFonts w:cs="Arial"/>
                <w:sz w:val="18"/>
                <w:szCs w:val="20"/>
              </w:rPr>
              <w:t>)</w:t>
            </w:r>
          </w:p>
        </w:tc>
      </w:tr>
    </w:tbl>
    <w:p w:rsidR="003A6C1B" w:rsidRPr="0081162B" w:rsidRDefault="003A6C1B" w:rsidP="001468A2">
      <w:pPr>
        <w:rPr>
          <w:rFonts w:cs="Arial"/>
          <w:sz w:val="20"/>
          <w:szCs w:val="20"/>
        </w:rPr>
      </w:pPr>
    </w:p>
    <w:sectPr w:rsidR="003A6C1B" w:rsidRPr="0081162B" w:rsidSect="00046D70">
      <w:headerReference w:type="default" r:id="rId10"/>
      <w:footerReference w:type="default" r:id="rId11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D0" w:rsidRDefault="005C6DD0">
      <w:r>
        <w:separator/>
      </w:r>
    </w:p>
  </w:endnote>
  <w:endnote w:type="continuationSeparator" w:id="0">
    <w:p w:rsidR="005C6DD0" w:rsidRDefault="005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D0" w:rsidRDefault="005C6DD0">
      <w:r>
        <w:separator/>
      </w:r>
    </w:p>
  </w:footnote>
  <w:footnote w:type="continuationSeparator" w:id="0">
    <w:p w:rsidR="005C6DD0" w:rsidRDefault="005C6DD0">
      <w:r>
        <w:continuationSeparator/>
      </w:r>
    </w:p>
  </w:footnote>
  <w:footnote w:id="1">
    <w:p w:rsidR="000D52A2" w:rsidRPr="00961493" w:rsidRDefault="000D52A2" w:rsidP="000D52A2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961493">
        <w:rPr>
          <w:rStyle w:val="af"/>
          <w:rFonts w:ascii="Arial" w:hAnsi="Arial" w:cs="Arial"/>
          <w:sz w:val="16"/>
          <w:szCs w:val="16"/>
        </w:rPr>
        <w:footnoteRef/>
      </w:r>
      <w:r w:rsidRPr="00961493">
        <w:rPr>
          <w:rFonts w:ascii="Arial" w:hAnsi="Arial" w:cs="Arial"/>
          <w:sz w:val="16"/>
          <w:szCs w:val="16"/>
        </w:rPr>
        <w:t xml:space="preserve"> Для корпораций и финансовых институтов. Центральный контрагент – Банк «Национальный Клиринговый Центр» (Акционерное общество).</w:t>
      </w:r>
    </w:p>
  </w:footnote>
  <w:footnote w:id="2">
    <w:p w:rsidR="001468A2" w:rsidRPr="00961493" w:rsidRDefault="001468A2" w:rsidP="00961493">
      <w:pPr>
        <w:pStyle w:val="ad"/>
        <w:rPr>
          <w:rFonts w:cs="Arial"/>
          <w:sz w:val="16"/>
          <w:szCs w:val="16"/>
        </w:rPr>
      </w:pPr>
      <w:r w:rsidRPr="00961493">
        <w:rPr>
          <w:rStyle w:val="af"/>
          <w:rFonts w:cs="Arial"/>
          <w:sz w:val="16"/>
          <w:szCs w:val="16"/>
        </w:rPr>
        <w:footnoteRef/>
      </w:r>
      <w:r w:rsidRPr="00961493">
        <w:rPr>
          <w:rFonts w:cs="Arial"/>
          <w:sz w:val="16"/>
          <w:szCs w:val="16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17" w:rsidRDefault="00D61017">
    <w:pPr>
      <w:pStyle w:val="a3"/>
    </w:pPr>
    <w:r>
      <w:rPr>
        <w:noProof/>
        <w:lang w:eastAsia="ru-RU"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5B"/>
    <w:multiLevelType w:val="hybridMultilevel"/>
    <w:tmpl w:val="DAF0A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820A22"/>
    <w:multiLevelType w:val="hybridMultilevel"/>
    <w:tmpl w:val="B3BC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2044"/>
    <w:multiLevelType w:val="hybridMultilevel"/>
    <w:tmpl w:val="1BA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361E"/>
    <w:rsid w:val="00046D70"/>
    <w:rsid w:val="00052CEC"/>
    <w:rsid w:val="00077983"/>
    <w:rsid w:val="0008076D"/>
    <w:rsid w:val="000849DC"/>
    <w:rsid w:val="00090D8C"/>
    <w:rsid w:val="00093DB5"/>
    <w:rsid w:val="000C671F"/>
    <w:rsid w:val="000D52A2"/>
    <w:rsid w:val="000D5DB4"/>
    <w:rsid w:val="000D74D3"/>
    <w:rsid w:val="001220EF"/>
    <w:rsid w:val="00134DE8"/>
    <w:rsid w:val="001421B0"/>
    <w:rsid w:val="001468A2"/>
    <w:rsid w:val="0015532A"/>
    <w:rsid w:val="00161A08"/>
    <w:rsid w:val="00191A12"/>
    <w:rsid w:val="001A3A25"/>
    <w:rsid w:val="001B001F"/>
    <w:rsid w:val="001B0921"/>
    <w:rsid w:val="001C6A4F"/>
    <w:rsid w:val="001F3537"/>
    <w:rsid w:val="00212E28"/>
    <w:rsid w:val="0026166C"/>
    <w:rsid w:val="0026617E"/>
    <w:rsid w:val="00274EE6"/>
    <w:rsid w:val="00281D33"/>
    <w:rsid w:val="0028471A"/>
    <w:rsid w:val="00286F63"/>
    <w:rsid w:val="002B0B9F"/>
    <w:rsid w:val="002E42A9"/>
    <w:rsid w:val="002E4B1E"/>
    <w:rsid w:val="002F1A26"/>
    <w:rsid w:val="002F6FD5"/>
    <w:rsid w:val="002F747D"/>
    <w:rsid w:val="00302A67"/>
    <w:rsid w:val="0031236D"/>
    <w:rsid w:val="003207A1"/>
    <w:rsid w:val="003321F1"/>
    <w:rsid w:val="00332DEA"/>
    <w:rsid w:val="00343F39"/>
    <w:rsid w:val="00371DC7"/>
    <w:rsid w:val="00372264"/>
    <w:rsid w:val="00384328"/>
    <w:rsid w:val="00384706"/>
    <w:rsid w:val="0039784E"/>
    <w:rsid w:val="003A6476"/>
    <w:rsid w:val="003A6C1B"/>
    <w:rsid w:val="003B6094"/>
    <w:rsid w:val="003C1E82"/>
    <w:rsid w:val="003E0A78"/>
    <w:rsid w:val="003E109A"/>
    <w:rsid w:val="003F3AAB"/>
    <w:rsid w:val="0041118A"/>
    <w:rsid w:val="00423774"/>
    <w:rsid w:val="004417DD"/>
    <w:rsid w:val="0046712B"/>
    <w:rsid w:val="0051130A"/>
    <w:rsid w:val="00536443"/>
    <w:rsid w:val="00572C55"/>
    <w:rsid w:val="00591131"/>
    <w:rsid w:val="00593BA6"/>
    <w:rsid w:val="00594413"/>
    <w:rsid w:val="005C6DD0"/>
    <w:rsid w:val="005D1EC0"/>
    <w:rsid w:val="005D5986"/>
    <w:rsid w:val="00601FFC"/>
    <w:rsid w:val="00613E65"/>
    <w:rsid w:val="00622048"/>
    <w:rsid w:val="00623239"/>
    <w:rsid w:val="00623D14"/>
    <w:rsid w:val="0063677D"/>
    <w:rsid w:val="0064047B"/>
    <w:rsid w:val="00641431"/>
    <w:rsid w:val="00662A5F"/>
    <w:rsid w:val="00670DB1"/>
    <w:rsid w:val="00684731"/>
    <w:rsid w:val="006A58AF"/>
    <w:rsid w:val="006C4D55"/>
    <w:rsid w:val="006C5BBD"/>
    <w:rsid w:val="006E0F56"/>
    <w:rsid w:val="006F3378"/>
    <w:rsid w:val="006F58DF"/>
    <w:rsid w:val="0074791E"/>
    <w:rsid w:val="00766BE2"/>
    <w:rsid w:val="007C42AD"/>
    <w:rsid w:val="007E1B53"/>
    <w:rsid w:val="007E5797"/>
    <w:rsid w:val="007F0DB3"/>
    <w:rsid w:val="007F1B31"/>
    <w:rsid w:val="00803104"/>
    <w:rsid w:val="0081162B"/>
    <w:rsid w:val="008304FE"/>
    <w:rsid w:val="00845063"/>
    <w:rsid w:val="00850900"/>
    <w:rsid w:val="00850BE2"/>
    <w:rsid w:val="0086712A"/>
    <w:rsid w:val="0087026B"/>
    <w:rsid w:val="00874E02"/>
    <w:rsid w:val="008818D6"/>
    <w:rsid w:val="0089184B"/>
    <w:rsid w:val="008B4361"/>
    <w:rsid w:val="009013D0"/>
    <w:rsid w:val="00916997"/>
    <w:rsid w:val="00933F9F"/>
    <w:rsid w:val="009365C1"/>
    <w:rsid w:val="00952F81"/>
    <w:rsid w:val="00956F64"/>
    <w:rsid w:val="00961493"/>
    <w:rsid w:val="0098001F"/>
    <w:rsid w:val="009807BE"/>
    <w:rsid w:val="009A4D18"/>
    <w:rsid w:val="009A7062"/>
    <w:rsid w:val="009C4A9D"/>
    <w:rsid w:val="009D435D"/>
    <w:rsid w:val="009F3A30"/>
    <w:rsid w:val="00A06939"/>
    <w:rsid w:val="00A13103"/>
    <w:rsid w:val="00A17D00"/>
    <w:rsid w:val="00A258D5"/>
    <w:rsid w:val="00A30427"/>
    <w:rsid w:val="00A34AA4"/>
    <w:rsid w:val="00A45861"/>
    <w:rsid w:val="00A617DF"/>
    <w:rsid w:val="00AA10FF"/>
    <w:rsid w:val="00AC6925"/>
    <w:rsid w:val="00AF1300"/>
    <w:rsid w:val="00B03E4A"/>
    <w:rsid w:val="00B04E94"/>
    <w:rsid w:val="00B25D56"/>
    <w:rsid w:val="00B264C8"/>
    <w:rsid w:val="00B7399D"/>
    <w:rsid w:val="00B9369E"/>
    <w:rsid w:val="00BB2870"/>
    <w:rsid w:val="00BE2591"/>
    <w:rsid w:val="00C000AD"/>
    <w:rsid w:val="00C04C12"/>
    <w:rsid w:val="00C1160C"/>
    <w:rsid w:val="00C11912"/>
    <w:rsid w:val="00C168EA"/>
    <w:rsid w:val="00C45DB1"/>
    <w:rsid w:val="00C5086A"/>
    <w:rsid w:val="00C77208"/>
    <w:rsid w:val="00CB24E9"/>
    <w:rsid w:val="00CC430E"/>
    <w:rsid w:val="00CD2BAB"/>
    <w:rsid w:val="00CE3328"/>
    <w:rsid w:val="00CF3C6C"/>
    <w:rsid w:val="00D32BE3"/>
    <w:rsid w:val="00D357F9"/>
    <w:rsid w:val="00D412E9"/>
    <w:rsid w:val="00D61017"/>
    <w:rsid w:val="00D74E38"/>
    <w:rsid w:val="00D77A31"/>
    <w:rsid w:val="00DA1271"/>
    <w:rsid w:val="00DC0A4D"/>
    <w:rsid w:val="00DC49C9"/>
    <w:rsid w:val="00DE1CA2"/>
    <w:rsid w:val="00DE3E74"/>
    <w:rsid w:val="00DE65AC"/>
    <w:rsid w:val="00DE6F8D"/>
    <w:rsid w:val="00E151B2"/>
    <w:rsid w:val="00E16FA7"/>
    <w:rsid w:val="00E34ABE"/>
    <w:rsid w:val="00E66210"/>
    <w:rsid w:val="00E922E7"/>
    <w:rsid w:val="00EA76A9"/>
    <w:rsid w:val="00EB3115"/>
    <w:rsid w:val="00EB546A"/>
    <w:rsid w:val="00EF6647"/>
    <w:rsid w:val="00FA23FB"/>
    <w:rsid w:val="00FA6754"/>
    <w:rsid w:val="00FB37EA"/>
    <w:rsid w:val="00FE6A2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F41C48-DA7F-4621-A747-515F42F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677D"/>
    <w:pPr>
      <w:keepNext/>
      <w:numPr>
        <w:ilvl w:val="12"/>
      </w:numPr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1236D"/>
    <w:rPr>
      <w:rFonts w:cs="Arial"/>
      <w:i/>
      <w:i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1236D"/>
    <w:rPr>
      <w:rFonts w:ascii="Arial" w:hAnsi="Arial" w:cs="Arial"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641431"/>
    <w:pPr>
      <w:numPr>
        <w:ilvl w:val="1"/>
      </w:numPr>
      <w:spacing w:after="200" w:line="276" w:lineRule="auto"/>
      <w:jc w:val="left"/>
    </w:pPr>
    <w:rPr>
      <w:rFonts w:eastAsiaTheme="majorEastAsia" w:cstheme="majorBidi"/>
      <w:i/>
      <w:iCs/>
      <w:color w:val="4F81BD" w:themeColor="accent1"/>
      <w:spacing w:val="15"/>
      <w:sz w:val="20"/>
    </w:rPr>
  </w:style>
  <w:style w:type="character" w:customStyle="1" w:styleId="af3">
    <w:name w:val="Подзаголовок Знак"/>
    <w:basedOn w:val="a0"/>
    <w:link w:val="af2"/>
    <w:uiPriority w:val="11"/>
    <w:rsid w:val="00641431"/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3677D"/>
    <w:rPr>
      <w:b/>
      <w:bCs/>
      <w:sz w:val="24"/>
      <w:szCs w:val="24"/>
      <w:lang w:eastAsia="en-US"/>
    </w:rPr>
  </w:style>
  <w:style w:type="character" w:styleId="af4">
    <w:name w:val="Hyperlink"/>
    <w:basedOn w:val="a0"/>
    <w:unhideWhenUsed/>
    <w:rsid w:val="001B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0MjowM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04E8-D861-4F86-8A2F-8C8761C541B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A9C04C5-C495-4CEE-8FAE-5A5718316CC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3DD3700-7D4F-46AF-872E-322781CA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Fayzullin Ruslan Legal</cp:lastModifiedBy>
  <cp:revision>26</cp:revision>
  <cp:lastPrinted>2019-06-24T11:17:00Z</cp:lastPrinted>
  <dcterms:created xsi:type="dcterms:W3CDTF">2018-09-20T11:04:00Z</dcterms:created>
  <dcterms:modified xsi:type="dcterms:W3CDTF">2019-07-04T09:24:00Z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e81cdafe-008a-43f8-b918-0afb6c63a0fb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{1E4D04E8-D861-4F86-8A2F-8C8761C541BD}</vt:lpwstr>
  </property>
</Properties>
</file>