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FD0" w:rsidRDefault="00070FD0" w:rsidP="00070FD0">
      <w:pPr>
        <w:rPr>
          <w:lang w:val="en-US"/>
        </w:rPr>
      </w:pPr>
      <w:r>
        <w:rPr>
          <w:rFonts w:ascii="Arial" w:hAnsi="Arial" w:cs="Arial"/>
          <w:b/>
        </w:rPr>
        <w:tab/>
      </w:r>
      <w:r>
        <w:rPr>
          <w:noProof/>
        </w:rPr>
        <mc:AlternateContent>
          <mc:Choice Requires="wps">
            <w:drawing>
              <wp:anchor distT="0" distB="0" distL="114300" distR="114300" simplePos="0" relativeHeight="251659264" behindDoc="0" locked="0" layoutInCell="0" allowOverlap="1" wp14:anchorId="3B68BCB0" wp14:editId="3C1B7D29">
                <wp:simplePos x="0" y="0"/>
                <wp:positionH relativeFrom="column">
                  <wp:posOffset>5013960</wp:posOffset>
                </wp:positionH>
                <wp:positionV relativeFrom="paragraph">
                  <wp:posOffset>133350</wp:posOffset>
                </wp:positionV>
                <wp:extent cx="1147445" cy="311785"/>
                <wp:effectExtent l="0" t="0" r="14605"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311785"/>
                        </a:xfrm>
                        <a:prstGeom prst="rect">
                          <a:avLst/>
                        </a:prstGeom>
                        <a:solidFill>
                          <a:srgbClr val="FFFFFF"/>
                        </a:solidFill>
                        <a:ln w="6350" algn="ctr">
                          <a:solidFill>
                            <a:srgbClr val="000000"/>
                          </a:solidFill>
                          <a:miter lim="800000"/>
                          <a:headEnd/>
                          <a:tailEnd/>
                        </a:ln>
                      </wps:spPr>
                      <wps:txbx>
                        <w:txbxContent>
                          <w:p w:rsidR="00070FD0" w:rsidRPr="00E74647" w:rsidRDefault="00070FD0" w:rsidP="00070FD0">
                            <w:pPr>
                              <w:jc w:val="center"/>
                              <w:rPr>
                                <w:rFonts w:ascii="Arial" w:hAnsi="Arial" w:cs="Arial"/>
                                <w:lang w:val="en-US"/>
                              </w:rPr>
                            </w:pPr>
                            <w:r>
                              <w:rPr>
                                <w:rFonts w:ascii="Arial" w:hAnsi="Arial" w:cs="Arial"/>
                              </w:rPr>
                              <w:t>ТФ-2</w:t>
                            </w:r>
                            <w:r w:rsidR="00E74647">
                              <w:rPr>
                                <w:rFonts w:ascii="Arial" w:hAnsi="Arial" w:cs="Arial"/>
                                <w:lang w:val="en-US"/>
                              </w:rPr>
                              <w:t>2</w:t>
                            </w:r>
                            <w:r>
                              <w:rPr>
                                <w:rFonts w:ascii="Arial" w:hAnsi="Arial" w:cs="Arial"/>
                              </w:rPr>
                              <w:t>08-</w:t>
                            </w:r>
                            <w:r w:rsidR="009A0C9C">
                              <w:rPr>
                                <w:rFonts w:ascii="Arial" w:hAnsi="Arial" w:cs="Arial"/>
                                <w:lang w:val="en-US"/>
                              </w:rPr>
                              <w:t>3</w:t>
                            </w:r>
                            <w:r w:rsidR="00E74647">
                              <w:rPr>
                                <w:rFonts w:ascii="Arial" w:hAnsi="Arial" w:cs="Arial"/>
                                <w:lang w:val="en-US"/>
                              </w:rP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394.8pt;margin-top:10.5pt;width:90.35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" o:allowincell="f" strokeweight=".5pt">
                <v:textbox>
                  <w:txbxContent>
                    <w:p w:rsidR="00070FD0" w:rsidRPr="00E74647" w:rsidRDefault="00070FD0" w:rsidP="00070FD0">
                      <w:pPr>
                        <w:jc w:val="center"/>
                        <w:rPr>
                          <w:rFonts w:ascii="Arial" w:hAnsi="Arial" w:cs="Arial"/>
                          <w:lang w:val="en-US"/>
                        </w:rPr>
                      </w:pPr>
                      <w:r>
                        <w:rPr>
                          <w:rFonts w:ascii="Arial" w:hAnsi="Arial" w:cs="Arial"/>
                        </w:rPr>
                        <w:t>ТФ-2</w:t>
                      </w:r>
                      <w:r w:rsidR="00E74647">
                        <w:rPr>
                          <w:rFonts w:ascii="Arial" w:hAnsi="Arial" w:cs="Arial"/>
                          <w:lang w:val="en-US"/>
                        </w:rPr>
                        <w:t>2</w:t>
                      </w:r>
                      <w:r>
                        <w:rPr>
                          <w:rFonts w:ascii="Arial" w:hAnsi="Arial" w:cs="Arial"/>
                        </w:rPr>
                        <w:t>08-</w:t>
                      </w:r>
                      <w:r w:rsidR="009A0C9C">
                        <w:rPr>
                          <w:rFonts w:ascii="Arial" w:hAnsi="Arial" w:cs="Arial"/>
                          <w:lang w:val="en-US"/>
                        </w:rPr>
                        <w:t>3</w:t>
                      </w:r>
                      <w:r w:rsidR="00E74647">
                        <w:rPr>
                          <w:rFonts w:ascii="Arial" w:hAnsi="Arial" w:cs="Arial"/>
                          <w:lang w:val="en-US"/>
                        </w:rPr>
                        <w:t>/3</w:t>
                      </w:r>
                    </w:p>
                  </w:txbxContent>
                </v:textbox>
              </v:rect>
            </w:pict>
          </mc:Fallback>
        </mc:AlternateContent>
      </w:r>
    </w:p>
    <w:p w:rsidR="00F40947" w:rsidRDefault="00F40947" w:rsidP="00070FD0">
      <w:pPr>
        <w:tabs>
          <w:tab w:val="left" w:pos="7920"/>
        </w:tabs>
        <w:spacing w:after="120" w:line="240" w:lineRule="auto"/>
        <w:ind w:firstLine="250"/>
        <w:rPr>
          <w:rFonts w:ascii="Arial" w:hAnsi="Arial" w:cs="Arial"/>
          <w:b/>
        </w:rPr>
      </w:pPr>
    </w:p>
    <w:p w:rsidR="009767BA" w:rsidRPr="00406870" w:rsidRDefault="009767BA" w:rsidP="0077365A">
      <w:pPr>
        <w:spacing w:after="120" w:line="240" w:lineRule="auto"/>
        <w:ind w:firstLine="250"/>
        <w:jc w:val="center"/>
        <w:rPr>
          <w:rFonts w:ascii="Arial" w:hAnsi="Arial" w:cs="Arial"/>
          <w:b/>
        </w:rPr>
      </w:pPr>
      <w:r w:rsidRPr="00406870">
        <w:rPr>
          <w:rFonts w:ascii="Arial" w:hAnsi="Arial" w:cs="Arial"/>
          <w:b/>
        </w:rPr>
        <w:t xml:space="preserve">ДЕКЛАРАЦИЯ О РИСКАХ, СВЯЗАННЫХ С ПРИОБРЕТЕНИЕМ ИНОСТРАННЫХ ЦЕННЫХ БУМАГ </w:t>
      </w:r>
      <w:r w:rsidR="00A82CD5" w:rsidRPr="00406870">
        <w:rPr>
          <w:rFonts w:ascii="Arial" w:hAnsi="Arial" w:cs="Arial"/>
          <w:b/>
        </w:rPr>
        <w:t>И ЗАКЛЮЧ</w:t>
      </w:r>
      <w:r w:rsidR="003F433F" w:rsidRPr="00406870">
        <w:rPr>
          <w:rFonts w:ascii="Arial" w:hAnsi="Arial" w:cs="Arial"/>
          <w:b/>
        </w:rPr>
        <w:t>Е</w:t>
      </w:r>
      <w:r w:rsidR="00A82CD5" w:rsidRPr="00406870">
        <w:rPr>
          <w:rFonts w:ascii="Arial" w:hAnsi="Arial" w:cs="Arial"/>
          <w:b/>
        </w:rPr>
        <w:t>НИЕМ ДОГОВОРОВ, ЯВЛЯЮЩИХСЯ ПРОИЗВОДНЫМИ</w:t>
      </w:r>
      <w:bookmarkStart w:id="0" w:name="_GoBack"/>
      <w:bookmarkEnd w:id="0"/>
      <w:r w:rsidR="00A82CD5" w:rsidRPr="00406870">
        <w:rPr>
          <w:rFonts w:ascii="Arial" w:hAnsi="Arial" w:cs="Arial"/>
          <w:b/>
        </w:rPr>
        <w:t xml:space="preserve">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192BEA" w:rsidRDefault="00192BEA" w:rsidP="0077365A">
      <w:pPr>
        <w:spacing w:after="120" w:line="240" w:lineRule="auto"/>
        <w:jc w:val="both"/>
        <w:rPr>
          <w:rFonts w:ascii="Arial" w:hAnsi="Arial" w:cs="Arial"/>
        </w:rPr>
      </w:pPr>
    </w:p>
    <w:p w:rsidR="00A82CD5" w:rsidRPr="00406870" w:rsidRDefault="009767BA" w:rsidP="0077365A">
      <w:pPr>
        <w:spacing w:after="120" w:line="240" w:lineRule="auto"/>
        <w:jc w:val="both"/>
        <w:rPr>
          <w:rFonts w:ascii="Arial" w:hAnsi="Arial" w:cs="Arial"/>
        </w:rPr>
      </w:pPr>
      <w:r w:rsidRPr="00406870">
        <w:rPr>
          <w:rFonts w:ascii="Arial" w:hAnsi="Arial" w:cs="Arial"/>
        </w:rPr>
        <w:t>Целью настоящей Декларации является</w:t>
      </w:r>
      <w:r w:rsidR="006A45F1" w:rsidRPr="00406870">
        <w:rPr>
          <w:rFonts w:ascii="Arial" w:hAnsi="Arial" w:cs="Arial"/>
        </w:rPr>
        <w:t xml:space="preserve"> </w:t>
      </w:r>
      <w:r w:rsidR="003F433F" w:rsidRPr="00406870">
        <w:rPr>
          <w:rFonts w:ascii="Arial" w:hAnsi="Arial" w:cs="Arial"/>
        </w:rPr>
        <w:t>ознакомление со следующей</w:t>
      </w:r>
      <w:r w:rsidR="006A45F1" w:rsidRPr="00406870">
        <w:rPr>
          <w:rFonts w:ascii="Arial" w:hAnsi="Arial" w:cs="Arial"/>
        </w:rPr>
        <w:t xml:space="preserve"> информаци</w:t>
      </w:r>
      <w:r w:rsidR="003F433F" w:rsidRPr="00406870">
        <w:rPr>
          <w:rFonts w:ascii="Arial" w:hAnsi="Arial" w:cs="Arial"/>
        </w:rPr>
        <w:t>ей</w:t>
      </w:r>
      <w:r w:rsidR="00A82CD5" w:rsidRPr="00406870">
        <w:rPr>
          <w:rFonts w:ascii="Arial" w:hAnsi="Arial" w:cs="Arial"/>
        </w:rPr>
        <w:t>:</w:t>
      </w:r>
    </w:p>
    <w:p w:rsidR="009767BA" w:rsidRPr="00406870" w:rsidRDefault="00A82CD5" w:rsidP="0077365A">
      <w:pPr>
        <w:spacing w:after="120" w:line="240" w:lineRule="auto"/>
        <w:jc w:val="both"/>
        <w:rPr>
          <w:rFonts w:ascii="Arial" w:hAnsi="Arial" w:cs="Arial"/>
        </w:rPr>
      </w:pPr>
      <w:r w:rsidRPr="00406870">
        <w:rPr>
          <w:rFonts w:ascii="Arial" w:hAnsi="Arial" w:cs="Arial"/>
        </w:rPr>
        <w:t xml:space="preserve">(А) </w:t>
      </w:r>
      <w:r w:rsidR="009767BA" w:rsidRPr="00406870">
        <w:rPr>
          <w:rFonts w:ascii="Arial" w:hAnsi="Arial" w:cs="Arial"/>
        </w:rPr>
        <w:t xml:space="preserve">о рисках, связанных с приобретением иностранных ценных бумаг. </w:t>
      </w:r>
    </w:p>
    <w:p w:rsidR="00A82CD5" w:rsidRPr="00406870" w:rsidRDefault="00A82CD5" w:rsidP="0077365A">
      <w:pPr>
        <w:spacing w:after="120" w:line="240" w:lineRule="auto"/>
        <w:jc w:val="both"/>
        <w:rPr>
          <w:rFonts w:ascii="Arial" w:hAnsi="Arial" w:cs="Arial"/>
        </w:rPr>
      </w:pPr>
      <w:r w:rsidRPr="00406870">
        <w:rPr>
          <w:rFonts w:ascii="Arial" w:hAnsi="Arial" w:cs="Arial"/>
        </w:rPr>
        <w:t xml:space="preserve">(Б)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w:t>
      </w:r>
    </w:p>
    <w:p w:rsidR="00A82CD5" w:rsidRPr="00406870" w:rsidRDefault="00A82CD5" w:rsidP="0077365A">
      <w:pPr>
        <w:spacing w:after="120" w:line="240" w:lineRule="auto"/>
        <w:jc w:val="both"/>
        <w:rPr>
          <w:rFonts w:ascii="Arial" w:hAnsi="Arial" w:cs="Arial"/>
          <w:b/>
        </w:rPr>
      </w:pPr>
      <w:r w:rsidRPr="00406870">
        <w:rPr>
          <w:rFonts w:ascii="Arial" w:hAnsi="Arial" w:cs="Arial"/>
          <w:b/>
        </w:rPr>
        <w:t xml:space="preserve">(А) Информация о рисках, связанных с приобретением иностранных ценных бумаг: </w:t>
      </w:r>
    </w:p>
    <w:p w:rsidR="009767BA" w:rsidRPr="00406870" w:rsidRDefault="006A45F1" w:rsidP="0077365A">
      <w:pPr>
        <w:spacing w:after="120" w:line="240" w:lineRule="auto"/>
        <w:jc w:val="both"/>
        <w:rPr>
          <w:rFonts w:ascii="Arial" w:hAnsi="Arial" w:cs="Arial"/>
        </w:rPr>
      </w:pPr>
      <w:r w:rsidRPr="00406870">
        <w:rPr>
          <w:rFonts w:ascii="Arial" w:hAnsi="Arial" w:cs="Arial"/>
        </w:rPr>
        <w:t xml:space="preserve">Иностранные ценные бумаги могут быть приобретены за рубежом или на российском, в том числе организованном, фондовом рынке. </w:t>
      </w:r>
      <w:r w:rsidR="009767BA" w:rsidRPr="00406870">
        <w:rPr>
          <w:rFonts w:ascii="Arial" w:hAnsi="Arial" w:cs="Arial"/>
        </w:rPr>
        <w:t>Операциям с иностранными ценными бумагами присущи общие риски, связанные с операциями на рынке ценных бумаг со следующими особенностями.</w:t>
      </w:r>
    </w:p>
    <w:p w:rsidR="009767BA" w:rsidRPr="00406870" w:rsidRDefault="009767BA" w:rsidP="0077365A">
      <w:pPr>
        <w:spacing w:after="120" w:line="240" w:lineRule="auto"/>
        <w:jc w:val="both"/>
        <w:rPr>
          <w:rFonts w:ascii="Arial" w:hAnsi="Arial" w:cs="Arial"/>
          <w:b/>
          <w:i/>
        </w:rPr>
      </w:pPr>
      <w:r w:rsidRPr="00406870">
        <w:rPr>
          <w:rFonts w:ascii="Arial" w:hAnsi="Arial" w:cs="Arial"/>
          <w:b/>
          <w:i/>
        </w:rPr>
        <w:t>Системные риски</w:t>
      </w:r>
    </w:p>
    <w:p w:rsidR="009767BA" w:rsidRPr="00406870" w:rsidRDefault="009767BA" w:rsidP="0077365A">
      <w:pPr>
        <w:spacing w:after="120" w:line="240" w:lineRule="auto"/>
        <w:jc w:val="both"/>
        <w:rPr>
          <w:rFonts w:ascii="Arial" w:hAnsi="Arial" w:cs="Arial"/>
        </w:rPr>
      </w:pPr>
      <w:r w:rsidRPr="00406870">
        <w:rPr>
          <w:rFonts w:ascii="Arial" w:hAnsi="Arial" w:cs="Arial"/>
        </w:rPr>
        <w:t>Применительно к иностранным ценным бумагам системные риски, свойственные российскому фондовому рынку</w:t>
      </w:r>
      <w:r w:rsidR="0077365A" w:rsidRPr="00406870">
        <w:rPr>
          <w:rFonts w:ascii="Arial" w:hAnsi="Arial" w:cs="Arial"/>
        </w:rPr>
        <w:t xml:space="preserve">, </w:t>
      </w:r>
      <w:r w:rsidRPr="00406870">
        <w:rPr>
          <w:rFonts w:ascii="Arial" w:hAnsi="Arial" w:cs="Arial"/>
        </w:rPr>
        <w:t>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9767BA" w:rsidRPr="00406870" w:rsidRDefault="009767BA" w:rsidP="0077365A">
      <w:pPr>
        <w:spacing w:after="120" w:line="240" w:lineRule="auto"/>
        <w:jc w:val="both"/>
        <w:rPr>
          <w:rFonts w:ascii="Arial" w:hAnsi="Arial" w:cs="Arial"/>
        </w:rPr>
      </w:pPr>
      <w:r w:rsidRPr="00406870">
        <w:rPr>
          <w:rFonts w:ascii="Arial" w:hAnsi="Arial" w:cs="Arial"/>
        </w:rPr>
        <w:t xml:space="preserve">На уровень системного риска могут оказывать влияние и многие другие факторы, в том </w:t>
      </w:r>
      <w:r w:rsidR="0077365A" w:rsidRPr="00406870">
        <w:rPr>
          <w:rFonts w:ascii="Arial" w:hAnsi="Arial" w:cs="Arial"/>
        </w:rPr>
        <w:t xml:space="preserve"> </w:t>
      </w:r>
      <w:r w:rsidRPr="00406870">
        <w:rPr>
          <w:rFonts w:ascii="Arial" w:hAnsi="Arial" w:cs="Arial"/>
        </w:rPr>
        <w:t>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rsidR="009767BA" w:rsidRPr="00406870" w:rsidRDefault="009767BA" w:rsidP="0077365A">
      <w:pPr>
        <w:spacing w:after="120" w:line="240" w:lineRule="auto"/>
        <w:jc w:val="both"/>
        <w:rPr>
          <w:rFonts w:ascii="Arial" w:hAnsi="Arial" w:cs="Arial"/>
        </w:rPr>
      </w:pPr>
      <w:r w:rsidRPr="00406870">
        <w:rPr>
          <w:rFonts w:ascii="Arial" w:hAnsi="Arial" w:cs="Arial"/>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9767BA" w:rsidRPr="00406870" w:rsidRDefault="009767BA" w:rsidP="0077365A">
      <w:pPr>
        <w:spacing w:after="120" w:line="240" w:lineRule="auto"/>
        <w:jc w:val="both"/>
        <w:rPr>
          <w:rFonts w:ascii="Arial" w:hAnsi="Arial" w:cs="Arial"/>
        </w:rPr>
      </w:pPr>
      <w:r w:rsidRPr="00406870">
        <w:rPr>
          <w:rFonts w:ascii="Arial" w:hAnsi="Arial" w:cs="Arial"/>
        </w:rPr>
        <w:t>В настоящее время законодательство</w:t>
      </w:r>
      <w:r w:rsidR="0077365A" w:rsidRPr="00406870">
        <w:rPr>
          <w:rFonts w:ascii="Arial" w:hAnsi="Arial" w:cs="Arial"/>
        </w:rPr>
        <w:t xml:space="preserve"> Российской Федерации</w:t>
      </w:r>
      <w:r w:rsidRPr="00406870">
        <w:rPr>
          <w:rFonts w:ascii="Arial" w:hAnsi="Arial" w:cs="Arial"/>
        </w:rPr>
        <w:t xml:space="preserve"> разрешает российским инвесторам, в том числе не являющимся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w:t>
      </w:r>
      <w:r w:rsidR="00A71984" w:rsidRPr="00406870">
        <w:rPr>
          <w:rFonts w:ascii="Arial" w:hAnsi="Arial" w:cs="Arial"/>
        </w:rPr>
        <w:t xml:space="preserve">осуществлять </w:t>
      </w:r>
      <w:r w:rsidRPr="00406870">
        <w:rPr>
          <w:rFonts w:ascii="Arial" w:hAnsi="Arial" w:cs="Arial"/>
        </w:rPr>
        <w:t>учет прав на такие ценные бумаги российским депозитариям.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9767BA" w:rsidRPr="00406870" w:rsidRDefault="009767BA" w:rsidP="0077365A">
      <w:pPr>
        <w:spacing w:after="120" w:line="240" w:lineRule="auto"/>
        <w:jc w:val="both"/>
        <w:rPr>
          <w:rFonts w:ascii="Arial" w:hAnsi="Arial" w:cs="Arial"/>
          <w:b/>
          <w:i/>
        </w:rPr>
      </w:pPr>
      <w:r w:rsidRPr="00406870">
        <w:rPr>
          <w:rFonts w:ascii="Arial" w:hAnsi="Arial" w:cs="Arial"/>
          <w:b/>
          <w:i/>
        </w:rPr>
        <w:t>Правовые риски</w:t>
      </w:r>
    </w:p>
    <w:p w:rsidR="009767BA" w:rsidRPr="00406870" w:rsidRDefault="009767BA" w:rsidP="0077365A">
      <w:pPr>
        <w:spacing w:after="120" w:line="240" w:lineRule="auto"/>
        <w:jc w:val="both"/>
        <w:rPr>
          <w:rFonts w:ascii="Arial" w:hAnsi="Arial" w:cs="Arial"/>
        </w:rPr>
      </w:pPr>
      <w:r w:rsidRPr="00406870">
        <w:rPr>
          <w:rFonts w:ascii="Arial" w:hAnsi="Arial" w:cs="Arial"/>
        </w:rPr>
        <w:lastRenderedPageBreak/>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9767BA" w:rsidRPr="00406870" w:rsidRDefault="009767BA" w:rsidP="0077365A">
      <w:pPr>
        <w:spacing w:after="120" w:line="240" w:lineRule="auto"/>
        <w:jc w:val="both"/>
        <w:rPr>
          <w:rFonts w:ascii="Arial" w:hAnsi="Arial" w:cs="Arial"/>
        </w:rPr>
      </w:pPr>
      <w:r w:rsidRPr="00406870">
        <w:rPr>
          <w:rFonts w:ascii="Arial" w:hAnsi="Arial" w:cs="Arial"/>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w:t>
      </w:r>
      <w:r w:rsidR="0077365A" w:rsidRPr="00406870">
        <w:rPr>
          <w:rFonts w:ascii="Arial" w:hAnsi="Arial" w:cs="Arial"/>
        </w:rPr>
        <w:t xml:space="preserve"> </w:t>
      </w:r>
      <w:r w:rsidRPr="00406870">
        <w:rPr>
          <w:rFonts w:ascii="Arial" w:hAnsi="Arial" w:cs="Arial"/>
        </w:rPr>
        <w:t>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rsidR="009767BA" w:rsidRPr="00406870" w:rsidRDefault="009767BA" w:rsidP="0077365A">
      <w:pPr>
        <w:spacing w:after="120" w:line="240" w:lineRule="auto"/>
        <w:jc w:val="both"/>
        <w:rPr>
          <w:rFonts w:ascii="Arial" w:hAnsi="Arial" w:cs="Arial"/>
          <w:b/>
          <w:i/>
        </w:rPr>
      </w:pPr>
      <w:r w:rsidRPr="00406870">
        <w:rPr>
          <w:rFonts w:ascii="Arial" w:hAnsi="Arial" w:cs="Arial"/>
          <w:b/>
          <w:i/>
        </w:rPr>
        <w:t>Раскрытие информации</w:t>
      </w:r>
    </w:p>
    <w:p w:rsidR="009767BA" w:rsidRPr="00406870" w:rsidRDefault="009767BA" w:rsidP="0077365A">
      <w:pPr>
        <w:spacing w:after="120" w:line="240" w:lineRule="auto"/>
        <w:jc w:val="both"/>
        <w:rPr>
          <w:rFonts w:ascii="Arial" w:hAnsi="Arial" w:cs="Arial"/>
        </w:rPr>
      </w:pPr>
      <w:r w:rsidRPr="00406870">
        <w:rPr>
          <w:rFonts w:ascii="Arial" w:hAnsi="Arial" w:cs="Arial"/>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9767BA" w:rsidRPr="00406870" w:rsidRDefault="009767BA" w:rsidP="0077365A">
      <w:pPr>
        <w:spacing w:after="120" w:line="240" w:lineRule="auto"/>
        <w:jc w:val="both"/>
        <w:rPr>
          <w:rFonts w:ascii="Arial" w:hAnsi="Arial" w:cs="Arial"/>
        </w:rPr>
      </w:pPr>
      <w:r w:rsidRPr="00406870">
        <w:rPr>
          <w:rFonts w:ascii="Arial" w:hAnsi="Arial" w:cs="Arial"/>
        </w:rPr>
        <w:t xml:space="preserve">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w:t>
      </w:r>
      <w:r w:rsidR="00A71984" w:rsidRPr="00406870">
        <w:rPr>
          <w:rFonts w:ascii="Arial" w:hAnsi="Arial" w:cs="Arial"/>
        </w:rPr>
        <w:t xml:space="preserve">должен </w:t>
      </w:r>
      <w:r w:rsidRPr="00406870">
        <w:rPr>
          <w:rFonts w:ascii="Arial" w:hAnsi="Arial" w:cs="Arial"/>
        </w:rPr>
        <w:t>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9767BA" w:rsidRPr="00406870" w:rsidRDefault="009767BA" w:rsidP="0077365A">
      <w:pPr>
        <w:spacing w:after="120" w:line="240" w:lineRule="auto"/>
        <w:ind w:firstLine="250"/>
        <w:jc w:val="center"/>
        <w:rPr>
          <w:rFonts w:ascii="Arial" w:hAnsi="Arial" w:cs="Arial"/>
        </w:rPr>
      </w:pPr>
      <w:r w:rsidRPr="00406870">
        <w:rPr>
          <w:rFonts w:ascii="Arial" w:hAnsi="Arial" w:cs="Arial"/>
        </w:rPr>
        <w:t>***</w:t>
      </w:r>
    </w:p>
    <w:p w:rsidR="00AF4B50" w:rsidRPr="00406870" w:rsidRDefault="00A65F2D" w:rsidP="0077365A">
      <w:pPr>
        <w:spacing w:after="120" w:line="240" w:lineRule="auto"/>
        <w:jc w:val="both"/>
        <w:rPr>
          <w:rFonts w:ascii="Arial" w:hAnsi="Arial" w:cs="Arial"/>
        </w:rPr>
      </w:pPr>
      <w:r w:rsidRPr="00406870">
        <w:rPr>
          <w:rFonts w:ascii="Arial" w:hAnsi="Arial" w:cs="Arial"/>
        </w:rPr>
        <w:t xml:space="preserve">Учитывая вышеизложенное, </w:t>
      </w:r>
      <w:r w:rsidR="00534122" w:rsidRPr="00406870">
        <w:rPr>
          <w:rFonts w:ascii="Arial" w:hAnsi="Arial" w:cs="Arial"/>
        </w:rPr>
        <w:t xml:space="preserve">ПАО </w:t>
      </w:r>
      <w:r w:rsidRPr="00406870">
        <w:rPr>
          <w:rFonts w:ascii="Arial" w:hAnsi="Arial" w:cs="Arial"/>
        </w:rPr>
        <w:t xml:space="preserve">РОСБАНК и </w:t>
      </w:r>
      <w:r w:rsidR="0077365A" w:rsidRPr="00406870">
        <w:rPr>
          <w:rFonts w:ascii="Arial" w:hAnsi="Arial" w:cs="Arial"/>
        </w:rPr>
        <w:t>саморегулируемая организация «Национальная ассоциация участников фондового рынка» (</w:t>
      </w:r>
      <w:r w:rsidR="00A82CD5" w:rsidRPr="00406870">
        <w:rPr>
          <w:rFonts w:ascii="Arial" w:hAnsi="Arial" w:cs="Arial"/>
        </w:rPr>
        <w:t>НАУФОР</w:t>
      </w:r>
      <w:r w:rsidR="0077365A" w:rsidRPr="00406870">
        <w:rPr>
          <w:rFonts w:ascii="Arial" w:hAnsi="Arial" w:cs="Arial"/>
        </w:rPr>
        <w:t>)</w:t>
      </w:r>
      <w:r w:rsidR="00A82CD5" w:rsidRPr="00406870">
        <w:rPr>
          <w:rFonts w:ascii="Arial" w:hAnsi="Arial" w:cs="Arial"/>
        </w:rPr>
        <w:t xml:space="preserve"> </w:t>
      </w:r>
      <w:r w:rsidRPr="00406870">
        <w:rPr>
          <w:rFonts w:ascii="Arial" w:hAnsi="Arial" w:cs="Arial"/>
        </w:rPr>
        <w:t>рекомендуют Вам</w:t>
      </w:r>
      <w:r w:rsidR="009767BA" w:rsidRPr="00406870">
        <w:rPr>
          <w:rFonts w:ascii="Arial" w:hAnsi="Arial" w:cs="Arial"/>
        </w:rPr>
        <w:t xml:space="preserve">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w:t>
      </w:r>
      <w:r w:rsidRPr="00406870">
        <w:rPr>
          <w:rFonts w:ascii="Arial" w:hAnsi="Arial" w:cs="Arial"/>
        </w:rPr>
        <w:t xml:space="preserve"> </w:t>
      </w:r>
      <w:r w:rsidR="009767BA" w:rsidRPr="00406870">
        <w:rPr>
          <w:rFonts w:ascii="Arial" w:hAnsi="Arial" w:cs="Arial"/>
        </w:rPr>
        <w:t>договора с Вашим брокером (управляющим).</w:t>
      </w:r>
    </w:p>
    <w:p w:rsidR="0007720C" w:rsidRPr="00406870" w:rsidRDefault="0007720C" w:rsidP="0077365A">
      <w:pPr>
        <w:spacing w:after="120" w:line="240" w:lineRule="auto"/>
        <w:jc w:val="both"/>
        <w:rPr>
          <w:rFonts w:ascii="Arial" w:hAnsi="Arial" w:cs="Arial"/>
          <w:b/>
        </w:rPr>
      </w:pPr>
    </w:p>
    <w:p w:rsidR="009767BA" w:rsidRPr="00406870" w:rsidRDefault="006A45F1" w:rsidP="0077365A">
      <w:pPr>
        <w:spacing w:after="120" w:line="240" w:lineRule="auto"/>
        <w:jc w:val="both"/>
        <w:rPr>
          <w:rFonts w:ascii="Arial" w:hAnsi="Arial" w:cs="Arial"/>
          <w:b/>
        </w:rPr>
      </w:pPr>
      <w:r w:rsidRPr="00406870">
        <w:rPr>
          <w:rFonts w:ascii="Arial" w:hAnsi="Arial" w:cs="Arial"/>
          <w:b/>
        </w:rPr>
        <w:t>(Б) Информация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6A45F1" w:rsidRPr="00406870" w:rsidRDefault="006A45F1" w:rsidP="0077365A">
      <w:pPr>
        <w:spacing w:after="120" w:line="240" w:lineRule="auto"/>
        <w:jc w:val="both"/>
        <w:rPr>
          <w:rFonts w:ascii="Arial" w:hAnsi="Arial" w:cs="Arial"/>
          <w:b/>
          <w:i/>
        </w:rPr>
      </w:pPr>
      <w:r w:rsidRPr="00406870">
        <w:rPr>
          <w:rFonts w:ascii="Arial" w:hAnsi="Arial" w:cs="Arial"/>
          <w:b/>
          <w:i/>
        </w:rPr>
        <w:t>Риски, связанные производными финансовыми инструментами</w:t>
      </w:r>
    </w:p>
    <w:p w:rsidR="006A45F1" w:rsidRPr="00406870" w:rsidRDefault="006A45F1" w:rsidP="0077365A">
      <w:pPr>
        <w:spacing w:after="120" w:line="240" w:lineRule="auto"/>
        <w:jc w:val="both"/>
        <w:rPr>
          <w:rFonts w:ascii="Arial" w:hAnsi="Arial" w:cs="Arial"/>
        </w:rPr>
      </w:pPr>
      <w:r w:rsidRPr="00406870">
        <w:rPr>
          <w:rFonts w:ascii="Arial" w:hAnsi="Arial" w:cs="Arial"/>
        </w:rPr>
        <w:t>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 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w:t>
      </w:r>
      <w:r w:rsidR="0077365A" w:rsidRPr="00406870">
        <w:rPr>
          <w:rFonts w:ascii="Arial" w:hAnsi="Arial" w:cs="Arial"/>
        </w:rPr>
        <w:t>высят величину уплаченных премий</w:t>
      </w:r>
      <w:r w:rsidRPr="00406870">
        <w:rPr>
          <w:rFonts w:ascii="Arial" w:hAnsi="Arial" w:cs="Arial"/>
        </w:rPr>
        <w:t>,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w:t>
      </w:r>
      <w:proofErr w:type="spellStart"/>
      <w:r w:rsidRPr="00406870">
        <w:rPr>
          <w:rFonts w:ascii="Arial" w:hAnsi="Arial" w:cs="Arial"/>
        </w:rPr>
        <w:t>колл</w:t>
      </w:r>
      <w:proofErr w:type="spellEnd"/>
      <w:r w:rsidRPr="00406870">
        <w:rPr>
          <w:rFonts w:ascii="Arial" w:hAnsi="Arial" w:cs="Arial"/>
        </w:rPr>
        <w:t xml:space="preserve">»)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w:t>
      </w:r>
      <w:r w:rsidRPr="00406870">
        <w:rPr>
          <w:rFonts w:ascii="Arial" w:hAnsi="Arial" w:cs="Arial"/>
        </w:rPr>
        <w:lastRenderedPageBreak/>
        <w:t>инвесторам, обладающим значительными финансовыми возможностями и практическими знаниями в области применения инвестиционных стратегий.</w:t>
      </w:r>
    </w:p>
    <w:p w:rsidR="006A45F1" w:rsidRPr="00406870" w:rsidRDefault="00820114" w:rsidP="0077365A">
      <w:pPr>
        <w:spacing w:after="120" w:line="240" w:lineRule="auto"/>
        <w:jc w:val="both"/>
        <w:rPr>
          <w:rFonts w:ascii="Arial" w:hAnsi="Arial" w:cs="Arial"/>
        </w:rPr>
      </w:pPr>
      <w:r w:rsidRPr="00406870">
        <w:rPr>
          <w:rFonts w:ascii="Arial" w:hAnsi="Arial" w:cs="Arial"/>
        </w:rPr>
        <w:t>Настоящая Д</w:t>
      </w:r>
      <w:r w:rsidR="006A45F1" w:rsidRPr="00406870">
        <w:rPr>
          <w:rFonts w:ascii="Arial" w:hAnsi="Arial" w:cs="Arial"/>
        </w:rPr>
        <w:t>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rsidR="006A45F1" w:rsidRPr="00406870" w:rsidRDefault="006A45F1" w:rsidP="0077365A">
      <w:pPr>
        <w:spacing w:after="120" w:line="240" w:lineRule="auto"/>
        <w:jc w:val="both"/>
        <w:rPr>
          <w:rFonts w:ascii="Arial" w:hAnsi="Arial" w:cs="Arial"/>
          <w:b/>
          <w:i/>
        </w:rPr>
      </w:pPr>
      <w:r w:rsidRPr="00406870">
        <w:rPr>
          <w:rFonts w:ascii="Arial" w:hAnsi="Arial" w:cs="Arial"/>
          <w:b/>
          <w:i/>
        </w:rPr>
        <w:t>Рыночный (ценовой) риск</w:t>
      </w:r>
    </w:p>
    <w:p w:rsidR="006A45F1" w:rsidRPr="00406870" w:rsidRDefault="006A45F1" w:rsidP="0077365A">
      <w:pPr>
        <w:spacing w:after="120" w:line="240" w:lineRule="auto"/>
        <w:jc w:val="both"/>
        <w:rPr>
          <w:rFonts w:ascii="Arial" w:hAnsi="Arial" w:cs="Arial"/>
        </w:rPr>
      </w:pPr>
      <w:r w:rsidRPr="00406870">
        <w:rPr>
          <w:rFonts w:ascii="Arial" w:hAnsi="Arial" w:cs="Arial"/>
        </w:rPr>
        <w:t>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rsidR="006A45F1" w:rsidRPr="00406870" w:rsidRDefault="006A45F1" w:rsidP="0007720C">
      <w:pPr>
        <w:spacing w:after="120" w:line="240" w:lineRule="auto"/>
        <w:jc w:val="both"/>
        <w:rPr>
          <w:rFonts w:ascii="Arial" w:hAnsi="Arial" w:cs="Arial"/>
        </w:rPr>
      </w:pPr>
      <w:r w:rsidRPr="00406870">
        <w:rPr>
          <w:rFonts w:ascii="Arial" w:hAnsi="Arial" w:cs="Arial"/>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rsidR="006A45F1" w:rsidRPr="00406870" w:rsidRDefault="006A45F1" w:rsidP="0007720C">
      <w:pPr>
        <w:spacing w:after="120" w:line="240" w:lineRule="auto"/>
        <w:jc w:val="both"/>
        <w:rPr>
          <w:rFonts w:ascii="Arial" w:hAnsi="Arial" w:cs="Arial"/>
          <w:b/>
          <w:i/>
        </w:rPr>
      </w:pPr>
      <w:r w:rsidRPr="00406870">
        <w:rPr>
          <w:rFonts w:ascii="Arial" w:hAnsi="Arial" w:cs="Arial"/>
          <w:b/>
          <w:i/>
        </w:rPr>
        <w:t xml:space="preserve">Риск ликвидности </w:t>
      </w:r>
    </w:p>
    <w:p w:rsidR="006A45F1" w:rsidRPr="00406870" w:rsidRDefault="006A45F1" w:rsidP="0007720C">
      <w:pPr>
        <w:spacing w:after="120" w:line="240" w:lineRule="auto"/>
        <w:jc w:val="both"/>
        <w:rPr>
          <w:rFonts w:ascii="Arial" w:hAnsi="Arial" w:cs="Arial"/>
        </w:rPr>
      </w:pPr>
      <w:r w:rsidRPr="00406870">
        <w:rPr>
          <w:rFonts w:ascii="Arial" w:hAnsi="Arial" w:cs="Arial"/>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rsidR="006A45F1" w:rsidRPr="00406870" w:rsidRDefault="006A45F1" w:rsidP="0007720C">
      <w:pPr>
        <w:spacing w:after="120" w:line="240" w:lineRule="auto"/>
        <w:jc w:val="both"/>
        <w:rPr>
          <w:rFonts w:ascii="Arial" w:hAnsi="Arial" w:cs="Arial"/>
        </w:rPr>
      </w:pPr>
      <w:r w:rsidRPr="00406870">
        <w:rPr>
          <w:rFonts w:ascii="Arial" w:hAnsi="Arial" w:cs="Arial"/>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rsidR="006A45F1" w:rsidRPr="00406870" w:rsidRDefault="006A45F1" w:rsidP="0007720C">
      <w:pPr>
        <w:spacing w:after="120" w:line="240" w:lineRule="auto"/>
        <w:jc w:val="both"/>
        <w:rPr>
          <w:rFonts w:ascii="Arial" w:hAnsi="Arial" w:cs="Arial"/>
        </w:rPr>
      </w:pPr>
      <w:r w:rsidRPr="00406870">
        <w:rPr>
          <w:rFonts w:ascii="Arial" w:hAnsi="Arial" w:cs="Arial"/>
        </w:rPr>
        <w:t xml:space="preserve">При этом трудности с закрытием позиций и потери в цене могут привести к увеличению убытков по сравнению с обычными сделками. </w:t>
      </w:r>
    </w:p>
    <w:p w:rsidR="006A45F1" w:rsidRPr="00406870" w:rsidRDefault="006A45F1" w:rsidP="0007720C">
      <w:pPr>
        <w:spacing w:after="120" w:line="240" w:lineRule="auto"/>
        <w:jc w:val="both"/>
        <w:rPr>
          <w:rFonts w:ascii="Arial" w:hAnsi="Arial" w:cs="Arial"/>
        </w:rPr>
      </w:pPr>
      <w:r w:rsidRPr="00406870">
        <w:rPr>
          <w:rFonts w:ascii="Arial" w:hAnsi="Arial" w:cs="Arial"/>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6A45F1" w:rsidRPr="00406870" w:rsidRDefault="006A45F1" w:rsidP="0007720C">
      <w:pPr>
        <w:spacing w:after="120" w:line="240" w:lineRule="auto"/>
        <w:jc w:val="both"/>
        <w:rPr>
          <w:rFonts w:ascii="Arial" w:hAnsi="Arial" w:cs="Arial"/>
          <w:b/>
          <w:i/>
        </w:rPr>
      </w:pPr>
      <w:r w:rsidRPr="00406870">
        <w:rPr>
          <w:rFonts w:ascii="Arial" w:hAnsi="Arial" w:cs="Arial"/>
          <w:b/>
          <w:i/>
        </w:rPr>
        <w:t xml:space="preserve">Ограничение распоряжения средствами, являющимися обеспечением  </w:t>
      </w:r>
    </w:p>
    <w:p w:rsidR="006A45F1" w:rsidRPr="00406870" w:rsidRDefault="006A45F1" w:rsidP="0007720C">
      <w:pPr>
        <w:spacing w:after="120" w:line="240" w:lineRule="auto"/>
        <w:jc w:val="both"/>
        <w:rPr>
          <w:rFonts w:ascii="Arial" w:hAnsi="Arial" w:cs="Arial"/>
        </w:rPr>
      </w:pPr>
      <w:r w:rsidRPr="00406870">
        <w:rPr>
          <w:rFonts w:ascii="Arial" w:hAnsi="Arial" w:cs="Arial"/>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w:t>
      </w:r>
      <w:r w:rsidR="00A71984" w:rsidRPr="00406870">
        <w:rPr>
          <w:rFonts w:ascii="Arial" w:hAnsi="Arial" w:cs="Arial"/>
        </w:rPr>
        <w:t>,</w:t>
      </w:r>
      <w:r w:rsidRPr="00406870">
        <w:rPr>
          <w:rFonts w:ascii="Arial" w:hAnsi="Arial" w:cs="Arial"/>
        </w:rPr>
        <w:t xml:space="preserve"> будет ограничен</w:t>
      </w:r>
      <w:r w:rsidR="0007720C" w:rsidRPr="00406870">
        <w:rPr>
          <w:rFonts w:ascii="Arial" w:hAnsi="Arial" w:cs="Arial"/>
        </w:rPr>
        <w:t>а</w:t>
      </w:r>
      <w:r w:rsidRPr="00406870">
        <w:rPr>
          <w:rFonts w:ascii="Arial" w:hAnsi="Arial" w:cs="Arial"/>
        </w:rPr>
        <w:t>.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rsidR="006A45F1" w:rsidRPr="00406870" w:rsidRDefault="006A45F1" w:rsidP="0007720C">
      <w:pPr>
        <w:spacing w:after="120" w:line="240" w:lineRule="auto"/>
        <w:jc w:val="both"/>
        <w:rPr>
          <w:rFonts w:ascii="Arial" w:hAnsi="Arial" w:cs="Arial"/>
          <w:b/>
          <w:i/>
        </w:rPr>
      </w:pPr>
      <w:r w:rsidRPr="00406870">
        <w:rPr>
          <w:rFonts w:ascii="Arial" w:hAnsi="Arial" w:cs="Arial"/>
          <w:b/>
          <w:i/>
        </w:rPr>
        <w:t>Риск принудительного закрытия позиции</w:t>
      </w:r>
    </w:p>
    <w:p w:rsidR="006A45F1" w:rsidRPr="00406870" w:rsidRDefault="006A45F1" w:rsidP="0007720C">
      <w:pPr>
        <w:spacing w:after="120" w:line="240" w:lineRule="auto"/>
        <w:jc w:val="both"/>
        <w:rPr>
          <w:rFonts w:ascii="Arial" w:hAnsi="Arial" w:cs="Arial"/>
        </w:rPr>
      </w:pPr>
      <w:r w:rsidRPr="00406870">
        <w:rPr>
          <w:rFonts w:ascii="Arial" w:hAnsi="Arial" w:cs="Arial"/>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договора</w:t>
      </w:r>
      <w:r w:rsidR="001A5070">
        <w:rPr>
          <w:rFonts w:ascii="Arial" w:hAnsi="Arial" w:cs="Arial"/>
        </w:rPr>
        <w:t xml:space="preserve"> о брокерском обслуживании</w:t>
      </w:r>
      <w:r w:rsidRPr="00406870">
        <w:rPr>
          <w:rFonts w:ascii="Arial" w:hAnsi="Arial" w:cs="Arial"/>
        </w:rPr>
        <w:t xml:space="preserve">,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w:t>
      </w:r>
      <w:r w:rsidRPr="00406870">
        <w:rPr>
          <w:rFonts w:ascii="Arial" w:hAnsi="Arial" w:cs="Arial"/>
        </w:rPr>
        <w:lastRenderedPageBreak/>
        <w:t>может быть сделано по существующим, в том числе невыгодным, ценам и привести к возникновению у Вас убытков.</w:t>
      </w:r>
    </w:p>
    <w:p w:rsidR="006A45F1" w:rsidRPr="00406870" w:rsidRDefault="006A45F1" w:rsidP="0007720C">
      <w:pPr>
        <w:spacing w:after="120" w:line="240" w:lineRule="auto"/>
        <w:jc w:val="both"/>
        <w:rPr>
          <w:rFonts w:ascii="Arial" w:hAnsi="Arial" w:cs="Arial"/>
        </w:rPr>
      </w:pPr>
      <w:r w:rsidRPr="00406870">
        <w:rPr>
          <w:rFonts w:ascii="Arial" w:hAnsi="Arial" w:cs="Arial"/>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rsidR="006A45F1" w:rsidRPr="00406870" w:rsidRDefault="006A45F1" w:rsidP="0007720C">
      <w:pPr>
        <w:spacing w:after="120" w:line="240" w:lineRule="auto"/>
        <w:jc w:val="both"/>
        <w:rPr>
          <w:rFonts w:ascii="Arial" w:hAnsi="Arial" w:cs="Arial"/>
          <w:b/>
          <w:i/>
        </w:rPr>
      </w:pPr>
      <w:r w:rsidRPr="00406870">
        <w:rPr>
          <w:rFonts w:ascii="Arial" w:hAnsi="Arial" w:cs="Arial"/>
          <w:b/>
          <w:i/>
        </w:rPr>
        <w:t>Риски, обусловленные иностранным происхождением базисного актива</w:t>
      </w:r>
    </w:p>
    <w:p w:rsidR="006A45F1" w:rsidRPr="00406870" w:rsidRDefault="006A45F1" w:rsidP="0077365A">
      <w:pPr>
        <w:spacing w:after="120" w:line="240" w:lineRule="auto"/>
        <w:ind w:firstLine="250"/>
        <w:jc w:val="both"/>
        <w:rPr>
          <w:rFonts w:ascii="Arial" w:hAnsi="Arial" w:cs="Arial"/>
          <w:i/>
        </w:rPr>
      </w:pPr>
      <w:r w:rsidRPr="00406870">
        <w:rPr>
          <w:rFonts w:ascii="Arial" w:hAnsi="Arial" w:cs="Arial"/>
          <w:i/>
        </w:rPr>
        <w:t>Системные риски</w:t>
      </w:r>
    </w:p>
    <w:p w:rsidR="006A45F1" w:rsidRPr="00406870" w:rsidRDefault="006A45F1" w:rsidP="0007720C">
      <w:pPr>
        <w:spacing w:after="120" w:line="240" w:lineRule="auto"/>
        <w:jc w:val="both"/>
        <w:rPr>
          <w:rFonts w:ascii="Arial" w:hAnsi="Arial" w:cs="Arial"/>
        </w:rPr>
      </w:pPr>
      <w:r w:rsidRPr="00406870">
        <w:rPr>
          <w:rFonts w:ascii="Arial" w:hAnsi="Arial" w:cs="Arial"/>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rsidR="006A45F1" w:rsidRPr="00406870" w:rsidRDefault="006A45F1" w:rsidP="0007720C">
      <w:pPr>
        <w:spacing w:after="120" w:line="240" w:lineRule="auto"/>
        <w:jc w:val="both"/>
        <w:rPr>
          <w:rFonts w:ascii="Arial" w:hAnsi="Arial" w:cs="Arial"/>
        </w:rPr>
      </w:pPr>
      <w:r w:rsidRPr="00406870">
        <w:rPr>
          <w:rFonts w:ascii="Arial" w:hAnsi="Arial" w:cs="Arial"/>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rsidR="006A45F1" w:rsidRPr="00406870" w:rsidRDefault="006A45F1" w:rsidP="0007720C">
      <w:pPr>
        <w:spacing w:after="120" w:line="240" w:lineRule="auto"/>
        <w:jc w:val="both"/>
        <w:rPr>
          <w:rFonts w:ascii="Arial" w:hAnsi="Arial" w:cs="Arial"/>
        </w:rPr>
      </w:pPr>
      <w:r w:rsidRPr="00406870">
        <w:rPr>
          <w:rFonts w:ascii="Arial" w:hAnsi="Arial" w:cs="Arial"/>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rsidR="006A45F1" w:rsidRPr="00406870" w:rsidRDefault="006A45F1" w:rsidP="0077365A">
      <w:pPr>
        <w:spacing w:after="120" w:line="240" w:lineRule="auto"/>
        <w:ind w:firstLine="250"/>
        <w:jc w:val="both"/>
        <w:rPr>
          <w:rFonts w:ascii="Arial" w:hAnsi="Arial" w:cs="Arial"/>
          <w:i/>
        </w:rPr>
      </w:pPr>
      <w:r w:rsidRPr="00406870">
        <w:rPr>
          <w:rFonts w:ascii="Arial" w:hAnsi="Arial" w:cs="Arial"/>
          <w:i/>
        </w:rPr>
        <w:t>Правовые риски</w:t>
      </w:r>
    </w:p>
    <w:p w:rsidR="006A45F1" w:rsidRPr="00406870" w:rsidRDefault="006A45F1" w:rsidP="0007720C">
      <w:pPr>
        <w:spacing w:after="120" w:line="240" w:lineRule="auto"/>
        <w:jc w:val="both"/>
        <w:rPr>
          <w:rFonts w:ascii="Arial" w:hAnsi="Arial" w:cs="Arial"/>
        </w:rPr>
      </w:pPr>
      <w:r w:rsidRPr="00406870">
        <w:rPr>
          <w:rFonts w:ascii="Arial" w:hAnsi="Arial" w:cs="Arial"/>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rsidR="006A45F1" w:rsidRPr="00406870" w:rsidRDefault="006A45F1" w:rsidP="0007720C">
      <w:pPr>
        <w:spacing w:after="120" w:line="240" w:lineRule="auto"/>
        <w:jc w:val="both"/>
        <w:rPr>
          <w:rFonts w:ascii="Arial" w:hAnsi="Arial" w:cs="Arial"/>
        </w:rPr>
      </w:pPr>
      <w:r w:rsidRPr="00406870">
        <w:rPr>
          <w:rFonts w:ascii="Arial" w:hAnsi="Arial" w:cs="Arial"/>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rsidR="006A45F1" w:rsidRPr="00406870" w:rsidRDefault="006A45F1" w:rsidP="0077365A">
      <w:pPr>
        <w:spacing w:after="120" w:line="240" w:lineRule="auto"/>
        <w:ind w:firstLine="250"/>
        <w:jc w:val="both"/>
        <w:rPr>
          <w:rFonts w:ascii="Arial" w:hAnsi="Arial" w:cs="Arial"/>
          <w:i/>
        </w:rPr>
      </w:pPr>
      <w:r w:rsidRPr="00406870">
        <w:rPr>
          <w:rFonts w:ascii="Arial" w:hAnsi="Arial" w:cs="Arial"/>
          <w:i/>
        </w:rPr>
        <w:t>Раскрытие информации</w:t>
      </w:r>
    </w:p>
    <w:p w:rsidR="006A45F1" w:rsidRPr="00406870" w:rsidRDefault="006A45F1" w:rsidP="0007720C">
      <w:pPr>
        <w:spacing w:after="120" w:line="240" w:lineRule="auto"/>
        <w:jc w:val="both"/>
        <w:rPr>
          <w:rFonts w:ascii="Arial" w:hAnsi="Arial" w:cs="Arial"/>
        </w:rPr>
      </w:pPr>
      <w:r w:rsidRPr="00406870">
        <w:rPr>
          <w:rFonts w:ascii="Arial" w:hAnsi="Arial" w:cs="Arial"/>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6A45F1" w:rsidRPr="00406870" w:rsidRDefault="006A45F1" w:rsidP="0007720C">
      <w:pPr>
        <w:spacing w:after="120" w:line="240" w:lineRule="auto"/>
        <w:jc w:val="both"/>
        <w:rPr>
          <w:rFonts w:ascii="Arial" w:hAnsi="Arial" w:cs="Arial"/>
        </w:rPr>
      </w:pPr>
      <w:r w:rsidRPr="00406870">
        <w:rPr>
          <w:rFonts w:ascii="Arial" w:hAnsi="Arial" w:cs="Arial"/>
        </w:rPr>
        <w:lastRenderedPageBreak/>
        <w:t xml:space="preserve">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w:t>
      </w:r>
      <w:r w:rsidR="006D7FB1" w:rsidRPr="00406870">
        <w:rPr>
          <w:rFonts w:ascii="Arial" w:hAnsi="Arial" w:cs="Arial"/>
        </w:rPr>
        <w:t xml:space="preserve">должен </w:t>
      </w:r>
      <w:r w:rsidRPr="00406870">
        <w:rPr>
          <w:rFonts w:ascii="Arial" w:hAnsi="Arial" w:cs="Arial"/>
        </w:rPr>
        <w:t>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6A45F1" w:rsidRPr="00406870" w:rsidRDefault="006A45F1" w:rsidP="0007720C">
      <w:pPr>
        <w:spacing w:after="120" w:line="240" w:lineRule="auto"/>
        <w:jc w:val="center"/>
        <w:rPr>
          <w:rFonts w:ascii="Arial" w:hAnsi="Arial" w:cs="Arial"/>
        </w:rPr>
      </w:pPr>
      <w:r w:rsidRPr="00406870">
        <w:rPr>
          <w:rFonts w:ascii="Arial" w:hAnsi="Arial" w:cs="Arial"/>
        </w:rPr>
        <w:t>***</w:t>
      </w:r>
    </w:p>
    <w:p w:rsidR="006A45F1" w:rsidRPr="00406870" w:rsidRDefault="006A45F1" w:rsidP="0077365A">
      <w:pPr>
        <w:spacing w:after="120" w:line="240" w:lineRule="auto"/>
        <w:jc w:val="both"/>
        <w:rPr>
          <w:rFonts w:ascii="Arial" w:hAnsi="Arial" w:cs="Arial"/>
        </w:rPr>
      </w:pPr>
      <w:r w:rsidRPr="00406870">
        <w:rPr>
          <w:rFonts w:ascii="Arial" w:hAnsi="Arial" w:cs="Arial"/>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 (управляющим).</w:t>
      </w:r>
    </w:p>
    <w:p w:rsidR="00070FD0" w:rsidRDefault="00070FD0" w:rsidP="00070FD0">
      <w:pPr>
        <w:spacing w:after="120" w:line="240" w:lineRule="auto"/>
        <w:jc w:val="both"/>
        <w:rPr>
          <w:rFonts w:ascii="Arial" w:hAnsi="Arial" w:cs="Arial"/>
        </w:rPr>
      </w:pPr>
    </w:p>
    <w:p w:rsidR="00070FD0" w:rsidRPr="00A7327F" w:rsidRDefault="00070FD0" w:rsidP="00070FD0">
      <w:pPr>
        <w:spacing w:after="120" w:line="240" w:lineRule="auto"/>
        <w:jc w:val="both"/>
        <w:rPr>
          <w:rFonts w:ascii="Arial" w:hAnsi="Arial" w:cs="Arial"/>
        </w:rPr>
      </w:pPr>
      <w:r>
        <w:rPr>
          <w:rFonts w:ascii="Arial" w:hAnsi="Arial" w:cs="Arial"/>
        </w:rPr>
        <w:t>«____» ______________________</w:t>
      </w:r>
      <w:proofErr w:type="gramStart"/>
      <w:r>
        <w:rPr>
          <w:rFonts w:ascii="Arial" w:hAnsi="Arial" w:cs="Arial"/>
        </w:rPr>
        <w:t>г</w:t>
      </w:r>
      <w:proofErr w:type="gramEnd"/>
      <w:r>
        <w:rPr>
          <w:rFonts w:ascii="Arial" w:hAnsi="Arial" w:cs="Arial"/>
        </w:rPr>
        <w:t xml:space="preserve">. </w:t>
      </w:r>
    </w:p>
    <w:p w:rsidR="002D1532" w:rsidRPr="00406870" w:rsidRDefault="009767BA" w:rsidP="0077365A">
      <w:pPr>
        <w:spacing w:after="120" w:line="240" w:lineRule="auto"/>
        <w:jc w:val="both"/>
        <w:rPr>
          <w:rFonts w:ascii="Arial" w:hAnsi="Arial" w:cs="Arial"/>
        </w:rPr>
      </w:pPr>
      <w:r w:rsidRPr="00406870">
        <w:rPr>
          <w:rFonts w:ascii="Arial" w:hAnsi="Arial" w:cs="Arial"/>
        </w:rPr>
        <w:t xml:space="preserve">Настоящим </w:t>
      </w:r>
      <w:r w:rsidR="00DB7C1D" w:rsidRPr="00406870">
        <w:rPr>
          <w:rFonts w:ascii="Arial" w:hAnsi="Arial" w:cs="Arial"/>
        </w:rPr>
        <w:t>К</w:t>
      </w:r>
      <w:r w:rsidRPr="00406870">
        <w:rPr>
          <w:rFonts w:ascii="Arial" w:hAnsi="Arial" w:cs="Arial"/>
        </w:rPr>
        <w:t xml:space="preserve">лиент </w:t>
      </w:r>
    </w:p>
    <w:p w:rsidR="002D1532" w:rsidRPr="00406870" w:rsidRDefault="002D1532" w:rsidP="0077365A">
      <w:pPr>
        <w:spacing w:after="120" w:line="240" w:lineRule="auto"/>
        <w:jc w:val="both"/>
        <w:rPr>
          <w:rFonts w:ascii="Arial" w:hAnsi="Arial" w:cs="Arial"/>
        </w:rPr>
      </w:pPr>
      <w:r w:rsidRPr="00406870">
        <w:rPr>
          <w:rFonts w:ascii="Arial" w:hAnsi="Arial" w:cs="Arial"/>
        </w:rPr>
        <w:t>Н</w:t>
      </w:r>
      <w:r w:rsidR="00C3653D" w:rsidRPr="00406870">
        <w:rPr>
          <w:rFonts w:ascii="Arial" w:hAnsi="Arial" w:cs="Arial"/>
        </w:rPr>
        <w:t>аименование</w:t>
      </w:r>
      <w:r w:rsidRPr="00406870">
        <w:rPr>
          <w:rFonts w:ascii="Arial" w:hAnsi="Arial" w:cs="Arial"/>
        </w:rPr>
        <w:t>_______________________________________________________________________________________________________________________________</w:t>
      </w:r>
      <w:r w:rsidR="0007720C" w:rsidRPr="00406870">
        <w:rPr>
          <w:rFonts w:ascii="Arial" w:hAnsi="Arial" w:cs="Arial"/>
        </w:rPr>
        <w:t>_________________</w:t>
      </w:r>
    </w:p>
    <w:p w:rsidR="00145124" w:rsidRPr="00406870" w:rsidRDefault="00145124" w:rsidP="0077365A">
      <w:pPr>
        <w:spacing w:after="120" w:line="240" w:lineRule="auto"/>
        <w:jc w:val="both"/>
        <w:rPr>
          <w:rFonts w:ascii="Arial" w:hAnsi="Arial" w:cs="Arial"/>
        </w:rPr>
      </w:pPr>
      <w:r w:rsidRPr="00406870">
        <w:rPr>
          <w:rFonts w:ascii="Arial" w:hAnsi="Arial" w:cs="Arial"/>
        </w:rPr>
        <w:t>Регистрационный код _____________________________________________</w:t>
      </w:r>
    </w:p>
    <w:p w:rsidR="0007720C" w:rsidRPr="00406870" w:rsidRDefault="00121245" w:rsidP="0077365A">
      <w:pPr>
        <w:spacing w:after="120" w:line="240" w:lineRule="auto"/>
        <w:jc w:val="both"/>
        <w:rPr>
          <w:rFonts w:ascii="Arial" w:hAnsi="Arial" w:cs="Arial"/>
        </w:rPr>
      </w:pPr>
      <w:r w:rsidRPr="00406870">
        <w:rPr>
          <w:rFonts w:ascii="Arial" w:hAnsi="Arial" w:cs="Arial"/>
        </w:rPr>
        <w:t>в лице _________</w:t>
      </w:r>
      <w:r w:rsidR="002D1532" w:rsidRPr="00406870">
        <w:rPr>
          <w:rFonts w:ascii="Arial" w:hAnsi="Arial" w:cs="Arial"/>
        </w:rPr>
        <w:t>___________________________________________________________</w:t>
      </w:r>
      <w:r w:rsidR="0007720C" w:rsidRPr="00406870">
        <w:rPr>
          <w:rFonts w:ascii="Arial" w:hAnsi="Arial" w:cs="Arial"/>
        </w:rPr>
        <w:t>___</w:t>
      </w:r>
      <w:r w:rsidR="002D1532" w:rsidRPr="00406870">
        <w:rPr>
          <w:rFonts w:ascii="Arial" w:hAnsi="Arial" w:cs="Arial"/>
        </w:rPr>
        <w:t>_</w:t>
      </w:r>
      <w:r w:rsidR="00967CFE" w:rsidRPr="00406870">
        <w:rPr>
          <w:rFonts w:ascii="Arial" w:hAnsi="Arial" w:cs="Arial"/>
        </w:rPr>
        <w:t>, действующего на основании Устава</w:t>
      </w:r>
      <w:r w:rsidR="002D1532" w:rsidRPr="00406870">
        <w:rPr>
          <w:rFonts w:ascii="Arial" w:hAnsi="Arial" w:cs="Arial"/>
        </w:rPr>
        <w:t xml:space="preserve"> </w:t>
      </w:r>
      <w:r w:rsidR="00967CFE" w:rsidRPr="00406870">
        <w:rPr>
          <w:rFonts w:ascii="Arial" w:hAnsi="Arial" w:cs="Arial"/>
        </w:rPr>
        <w:t>/Доверенности</w:t>
      </w:r>
      <w:r w:rsidR="002D1532" w:rsidRPr="00406870">
        <w:rPr>
          <w:rFonts w:ascii="Arial" w:hAnsi="Arial" w:cs="Arial"/>
        </w:rPr>
        <w:t>________________________________/,</w:t>
      </w:r>
      <w:r w:rsidRPr="00406870">
        <w:rPr>
          <w:rFonts w:ascii="Arial" w:hAnsi="Arial" w:cs="Arial"/>
        </w:rPr>
        <w:t xml:space="preserve"> </w:t>
      </w:r>
    </w:p>
    <w:p w:rsidR="00A65F2D" w:rsidRPr="00406870" w:rsidRDefault="00A65F2D" w:rsidP="0077365A">
      <w:pPr>
        <w:spacing w:after="120" w:line="240" w:lineRule="auto"/>
        <w:jc w:val="both"/>
        <w:rPr>
          <w:rFonts w:ascii="Arial" w:hAnsi="Arial" w:cs="Arial"/>
        </w:rPr>
      </w:pPr>
      <w:r w:rsidRPr="00406870">
        <w:rPr>
          <w:rFonts w:ascii="Arial" w:hAnsi="Arial" w:cs="Arial"/>
        </w:rPr>
        <w:t>подтверждает</w:t>
      </w:r>
      <w:r w:rsidR="00DB7C1D" w:rsidRPr="00406870">
        <w:rPr>
          <w:rFonts w:ascii="Arial" w:hAnsi="Arial" w:cs="Arial"/>
        </w:rPr>
        <w:t xml:space="preserve"> брокеру (</w:t>
      </w:r>
      <w:r w:rsidR="00534122" w:rsidRPr="00406870">
        <w:rPr>
          <w:rFonts w:ascii="Arial" w:hAnsi="Arial" w:cs="Arial"/>
        </w:rPr>
        <w:t xml:space="preserve">ПАО </w:t>
      </w:r>
      <w:r w:rsidR="00DB7C1D" w:rsidRPr="00406870">
        <w:rPr>
          <w:rFonts w:ascii="Arial" w:hAnsi="Arial" w:cs="Arial"/>
        </w:rPr>
        <w:t>РОСБАНК)</w:t>
      </w:r>
      <w:r w:rsidR="009767BA" w:rsidRPr="00406870">
        <w:rPr>
          <w:rFonts w:ascii="Arial" w:hAnsi="Arial" w:cs="Arial"/>
        </w:rPr>
        <w:t xml:space="preserve">, что ознакомился с </w:t>
      </w:r>
      <w:r w:rsidRPr="00406870">
        <w:rPr>
          <w:rFonts w:ascii="Arial" w:hAnsi="Arial" w:cs="Arial"/>
        </w:rPr>
        <w:t>настоящей Декларацией о рисках, связанных с приобретением иностранных ценных бумаг</w:t>
      </w:r>
      <w:r w:rsidR="00DB7C1D" w:rsidRPr="00406870">
        <w:rPr>
          <w:rFonts w:ascii="Arial" w:hAnsi="Arial" w:cs="Arial"/>
        </w:rPr>
        <w:t xml:space="preserve"> 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DB7C1D" w:rsidRPr="00406870" w:rsidRDefault="00DB7C1D" w:rsidP="0077365A">
      <w:pPr>
        <w:spacing w:after="120" w:line="240" w:lineRule="auto"/>
        <w:jc w:val="both"/>
        <w:rPr>
          <w:rFonts w:ascii="Arial" w:hAnsi="Arial" w:cs="Arial"/>
        </w:rPr>
      </w:pPr>
    </w:p>
    <w:p w:rsidR="0007720C" w:rsidRPr="00406870" w:rsidRDefault="0007720C" w:rsidP="0077365A">
      <w:pPr>
        <w:spacing w:after="120" w:line="240" w:lineRule="auto"/>
        <w:jc w:val="both"/>
        <w:rPr>
          <w:rFonts w:ascii="Arial" w:hAnsi="Arial" w:cs="Arial"/>
        </w:rPr>
      </w:pPr>
    </w:p>
    <w:p w:rsidR="0007720C" w:rsidRPr="00406870" w:rsidRDefault="0007720C" w:rsidP="0077365A">
      <w:pPr>
        <w:spacing w:after="120" w:line="240" w:lineRule="auto"/>
        <w:jc w:val="both"/>
        <w:rPr>
          <w:rFonts w:ascii="Arial" w:hAnsi="Arial" w:cs="Arial"/>
        </w:rPr>
      </w:pPr>
      <w:r w:rsidRPr="00406870">
        <w:rPr>
          <w:rFonts w:ascii="Arial" w:hAnsi="Arial" w:cs="Arial"/>
        </w:rPr>
        <w:t>Подпись: __________________________</w:t>
      </w:r>
    </w:p>
    <w:p w:rsidR="0007720C" w:rsidRPr="00406870" w:rsidRDefault="0007720C" w:rsidP="0077365A">
      <w:pPr>
        <w:spacing w:after="120" w:line="240" w:lineRule="auto"/>
        <w:jc w:val="both"/>
        <w:rPr>
          <w:rFonts w:ascii="Arial" w:hAnsi="Arial" w:cs="Arial"/>
        </w:rPr>
      </w:pPr>
    </w:p>
    <w:p w:rsidR="0007720C" w:rsidRPr="00280102" w:rsidRDefault="0007720C" w:rsidP="0077365A">
      <w:pPr>
        <w:spacing w:after="120" w:line="240" w:lineRule="auto"/>
        <w:jc w:val="both"/>
        <w:rPr>
          <w:rFonts w:ascii="Arial" w:hAnsi="Arial" w:cs="Arial"/>
          <w:sz w:val="18"/>
          <w:szCs w:val="18"/>
        </w:rPr>
      </w:pPr>
      <w:proofErr w:type="spellStart"/>
      <w:r w:rsidRPr="00406870">
        <w:rPr>
          <w:rFonts w:ascii="Arial" w:hAnsi="Arial" w:cs="Arial"/>
          <w:sz w:val="18"/>
          <w:szCs w:val="18"/>
        </w:rPr>
        <w:t>м.п</w:t>
      </w:r>
      <w:proofErr w:type="spellEnd"/>
      <w:r w:rsidRPr="00406870">
        <w:rPr>
          <w:rFonts w:ascii="Arial" w:hAnsi="Arial" w:cs="Arial"/>
          <w:sz w:val="18"/>
          <w:szCs w:val="18"/>
        </w:rPr>
        <w:t>.</w:t>
      </w:r>
      <w:r w:rsidR="00534122" w:rsidRPr="00406870">
        <w:rPr>
          <w:rFonts w:ascii="Arial" w:hAnsi="Arial" w:cs="Arial"/>
          <w:sz w:val="18"/>
          <w:szCs w:val="18"/>
        </w:rPr>
        <w:tab/>
      </w:r>
      <w:r w:rsidR="00534122" w:rsidRPr="00406870">
        <w:rPr>
          <w:rFonts w:ascii="Arial" w:hAnsi="Arial" w:cs="Arial"/>
          <w:sz w:val="18"/>
          <w:szCs w:val="18"/>
        </w:rPr>
        <w:tab/>
      </w:r>
      <w:r w:rsidR="00534122" w:rsidRPr="00406870">
        <w:rPr>
          <w:rFonts w:ascii="Arial" w:hAnsi="Arial" w:cs="Arial"/>
          <w:sz w:val="18"/>
          <w:szCs w:val="18"/>
        </w:rPr>
        <w:tab/>
      </w:r>
    </w:p>
    <w:p w:rsidR="0007720C" w:rsidRPr="0077365A" w:rsidRDefault="0007720C" w:rsidP="0077365A">
      <w:pPr>
        <w:spacing w:after="120" w:line="240" w:lineRule="auto"/>
        <w:jc w:val="both"/>
        <w:rPr>
          <w:rFonts w:ascii="Arial" w:hAnsi="Arial" w:cs="Arial"/>
        </w:rPr>
      </w:pPr>
    </w:p>
    <w:sectPr w:rsidR="0007720C" w:rsidRPr="0077365A" w:rsidSect="00070FD0">
      <w:footerReference w:type="default" r:id="rId9"/>
      <w:headerReference w:type="first" r:id="rId10"/>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DF6" w:rsidRDefault="00E73DF6" w:rsidP="00F44206">
      <w:pPr>
        <w:spacing w:after="0" w:line="240" w:lineRule="auto"/>
      </w:pPr>
      <w:r>
        <w:separator/>
      </w:r>
    </w:p>
  </w:endnote>
  <w:endnote w:type="continuationSeparator" w:id="0">
    <w:p w:rsidR="00E73DF6" w:rsidRDefault="00E73DF6" w:rsidP="00F4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09055"/>
      <w:docPartObj>
        <w:docPartGallery w:val="Page Numbers (Bottom of Page)"/>
        <w:docPartUnique/>
      </w:docPartObj>
    </w:sdtPr>
    <w:sdtEndPr/>
    <w:sdtContent>
      <w:p w:rsidR="0077365A" w:rsidRDefault="0077365A">
        <w:pPr>
          <w:pStyle w:val="a5"/>
          <w:jc w:val="right"/>
        </w:pPr>
        <w:r>
          <w:fldChar w:fldCharType="begin"/>
        </w:r>
        <w:r>
          <w:instrText>PAGE   \* MERGEFORMAT</w:instrText>
        </w:r>
        <w:r>
          <w:fldChar w:fldCharType="separate"/>
        </w:r>
        <w:r w:rsidR="009A0C9C">
          <w:rPr>
            <w:noProof/>
          </w:rPr>
          <w:t>5</w:t>
        </w:r>
        <w:r>
          <w:fldChar w:fldCharType="end"/>
        </w:r>
      </w:p>
    </w:sdtContent>
  </w:sdt>
  <w:p w:rsidR="00F44206" w:rsidRDefault="00F442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DF6" w:rsidRDefault="00E73DF6" w:rsidP="00F44206">
      <w:pPr>
        <w:spacing w:after="0" w:line="240" w:lineRule="auto"/>
      </w:pPr>
      <w:r>
        <w:separator/>
      </w:r>
    </w:p>
  </w:footnote>
  <w:footnote w:type="continuationSeparator" w:id="0">
    <w:p w:rsidR="00E73DF6" w:rsidRDefault="00E73DF6" w:rsidP="00F44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D0" w:rsidRDefault="00D77302" w:rsidP="00070FD0">
    <w:pPr>
      <w:pStyle w:val="a3"/>
      <w:tabs>
        <w:tab w:val="clear" w:pos="4677"/>
        <w:tab w:val="clear" w:pos="9355"/>
        <w:tab w:val="left" w:pos="1830"/>
      </w:tabs>
    </w:pPr>
    <w:r>
      <w:rPr>
        <w:i/>
      </w:rPr>
      <w:t xml:space="preserve">Для юридических лиц - </w:t>
    </w:r>
    <w:r w:rsidR="00070FD0" w:rsidRPr="00385465">
      <w:rPr>
        <w:i/>
      </w:rPr>
      <w:t>Декларация о рисках,</w:t>
    </w:r>
    <w:r w:rsidR="00070FD0">
      <w:rPr>
        <w:i/>
      </w:rPr>
      <w:t xml:space="preserve"> связанных с приобретением иностранных ценных бумаг 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B82"/>
    <w:rsid w:val="00070FD0"/>
    <w:rsid w:val="0007720C"/>
    <w:rsid w:val="00080B82"/>
    <w:rsid w:val="00121245"/>
    <w:rsid w:val="00145124"/>
    <w:rsid w:val="00192BEA"/>
    <w:rsid w:val="001A5070"/>
    <w:rsid w:val="00203845"/>
    <w:rsid w:val="00280102"/>
    <w:rsid w:val="002D1532"/>
    <w:rsid w:val="003F433F"/>
    <w:rsid w:val="00406870"/>
    <w:rsid w:val="00451B87"/>
    <w:rsid w:val="00474874"/>
    <w:rsid w:val="00534122"/>
    <w:rsid w:val="0064005F"/>
    <w:rsid w:val="006A45F1"/>
    <w:rsid w:val="006D7FB1"/>
    <w:rsid w:val="00715FD9"/>
    <w:rsid w:val="0077365A"/>
    <w:rsid w:val="00820114"/>
    <w:rsid w:val="00892593"/>
    <w:rsid w:val="008B5BC3"/>
    <w:rsid w:val="00967CFE"/>
    <w:rsid w:val="009767BA"/>
    <w:rsid w:val="009A0C9C"/>
    <w:rsid w:val="00A65F2D"/>
    <w:rsid w:val="00A71984"/>
    <w:rsid w:val="00A82CD5"/>
    <w:rsid w:val="00AC635F"/>
    <w:rsid w:val="00AF4B50"/>
    <w:rsid w:val="00C23417"/>
    <w:rsid w:val="00C3653D"/>
    <w:rsid w:val="00C74297"/>
    <w:rsid w:val="00CD67DC"/>
    <w:rsid w:val="00D03A46"/>
    <w:rsid w:val="00D25DD5"/>
    <w:rsid w:val="00D77302"/>
    <w:rsid w:val="00DB7C1D"/>
    <w:rsid w:val="00DC0A76"/>
    <w:rsid w:val="00DC7479"/>
    <w:rsid w:val="00E73DF6"/>
    <w:rsid w:val="00E74647"/>
    <w:rsid w:val="00F40947"/>
    <w:rsid w:val="00F44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7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2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4206"/>
    <w:rPr>
      <w:rFonts w:eastAsiaTheme="minorEastAsia"/>
      <w:lang w:eastAsia="ru-RU"/>
    </w:rPr>
  </w:style>
  <w:style w:type="paragraph" w:styleId="a5">
    <w:name w:val="footer"/>
    <w:basedOn w:val="a"/>
    <w:link w:val="a6"/>
    <w:uiPriority w:val="99"/>
    <w:unhideWhenUsed/>
    <w:rsid w:val="00F442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4206"/>
    <w:rPr>
      <w:rFonts w:eastAsiaTheme="minorEastAsia"/>
      <w:lang w:eastAsia="ru-RU"/>
    </w:rPr>
  </w:style>
  <w:style w:type="paragraph" w:styleId="a7">
    <w:name w:val="Balloon Text"/>
    <w:basedOn w:val="a"/>
    <w:link w:val="a8"/>
    <w:uiPriority w:val="99"/>
    <w:semiHidden/>
    <w:unhideWhenUsed/>
    <w:rsid w:val="00C234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341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7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2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4206"/>
    <w:rPr>
      <w:rFonts w:eastAsiaTheme="minorEastAsia"/>
      <w:lang w:eastAsia="ru-RU"/>
    </w:rPr>
  </w:style>
  <w:style w:type="paragraph" w:styleId="a5">
    <w:name w:val="footer"/>
    <w:basedOn w:val="a"/>
    <w:link w:val="a6"/>
    <w:uiPriority w:val="99"/>
    <w:unhideWhenUsed/>
    <w:rsid w:val="00F442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4206"/>
    <w:rPr>
      <w:rFonts w:eastAsiaTheme="minorEastAsia"/>
      <w:lang w:eastAsia="ru-RU"/>
    </w:rPr>
  </w:style>
  <w:style w:type="paragraph" w:styleId="a7">
    <w:name w:val="Balloon Text"/>
    <w:basedOn w:val="a"/>
    <w:link w:val="a8"/>
    <w:uiPriority w:val="99"/>
    <w:semiHidden/>
    <w:unhideWhenUsed/>
    <w:rsid w:val="00C234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341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PC9zaXNsPjxVc2VyTmFtZT5ST1NCQU5LXHJiMDA0MzUxPC9Vc2VyTmFtZT48RGF0ZVRpbWU+MDguMDIuMjAxOSAxMjo0NTowMTwvRGF0ZVRpbWU+PExhYmVsU3RyaW5nPkMwIHwgJiN4NDFFOyYjeDQzMTsmI3g0NDk7JiN4NDM1OyYjeDQzNDsmI3g0M0U7JiN4NDQxOyYjeDQ0MjsmI3g0NDM7JiN4NDNGOyYjeDQzRDsmI3g0MzA7JiN4NDRGOyAmI3g0Mzg7JiN4NDNEOyYjeDQ0NDsmI3g0M0U7JiN4NDQwOyYjeDQzQzsmI3g0MzA7JiN4NDQ2OyYjeDQzODsmI3g0NEY7PC9MYWJlbFN0cmluZz48L2l0ZW0+PC9sYWJlbEhpc3Rvcnk+</Value>
</WrappedLabelHistory>
</file>

<file path=customXml/item2.xml><?xml version="1.0" encoding="utf-8"?>
<sisl xmlns:xsi="http://www.w3.org/2001/XMLSchema-instance" xmlns:xsd="http://www.w3.org/2001/XMLSchema" xmlns="http://www.boldonjames.com/2008/01/sie/internal/label" sislVersion="0" policy="bd5b5c17-ff0e-4a45-8ade-b1db9e1fb804" origin="userSelected">
  <element uid="id_classification_nonbusiness" value=""/>
</sisl>
</file>

<file path=customXml/itemProps1.xml><?xml version="1.0" encoding="utf-8"?>
<ds:datastoreItem xmlns:ds="http://schemas.openxmlformats.org/officeDocument/2006/customXml" ds:itemID="{6B21E5C7-B1B0-423A-BE71-AF790722DB15}">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B2F244E-6701-4741-8161-ABD003C04B8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2419</Words>
  <Characters>13790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ROSBANK</Company>
  <LinksUpToDate>false</LinksUpToDate>
  <CharactersWithSpaces>16177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Nikulin</dc:creator>
  <dc:description>C0 - Public |j,llsaj12398**C0)knasdals|</dc:description>
  <cp:lastModifiedBy>Тяпкина Елена Витальевна</cp:lastModifiedBy>
  <cp:revision>7</cp:revision>
  <cp:lastPrinted>2014-12-10T15:29:00Z</cp:lastPrinted>
  <dcterms:created xsi:type="dcterms:W3CDTF">2016-12-19T12:49:00Z</dcterms:created>
  <dcterms:modified xsi:type="dcterms:W3CDTF">2019-02-27T14:43:00Z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2eb19a13-ddbb-48ba-9237-6e0ee36e3860</vt:lpwstr>
  </property>
  <property fmtid="{D5CDD505-2E9C-101B-9397-08002B2CF9AE}" pid="3" name="bjSaver">
    <vt:lpwstr>YDsV6I3Gx0CULCKbbY9HKnpANS9J1aM2</vt:lpwstr>
  </property>
  <property fmtid="{D5CDD505-2E9C-101B-9397-08002B2CF9AE}" pid="4" name="bjDocumentLabelXML">
    <vt:lpwstr>&lt;?xml version="1.0" encoding="us-ascii"?&gt;&lt;sisl xmlns:xsi="http://www.w3.org/2001/XMLSchema-instance" xmlns:xsd="http://www.w3.org/2001/XMLSchema" sislVersion="0" policy="bd5b5c17-ff0e-4a45-8ade-b1db9e1fb804"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C0 | Общедоступная информация</vt:lpwstr>
  </property>
  <property fmtid="{D5CDD505-2E9C-101B-9397-08002B2CF9AE}" pid="7" name="bjLabelHistoryID">
    <vt:lpwstr>{6B21E5C7-B1B0-423A-BE71-AF790722DB15}</vt:lpwstr>
  </property>
</Properties>
</file>