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39" w:rsidRPr="001F5FA6" w:rsidRDefault="00A06939" w:rsidP="00A06939">
      <w:pPr>
        <w:pStyle w:val="2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80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401B78">
        <w:rPr>
          <w:rFonts w:ascii="Arial" w:hAnsi="Arial" w:cs="Arial"/>
          <w:b w:val="0"/>
          <w:sz w:val="20"/>
          <w:szCs w:val="20"/>
        </w:rPr>
        <w:t>ТФ-2108-40</w:t>
      </w:r>
      <w:r>
        <w:rPr>
          <w:rFonts w:ascii="Arial" w:hAnsi="Arial" w:cs="Arial"/>
          <w:b w:val="0"/>
          <w:sz w:val="20"/>
          <w:szCs w:val="20"/>
        </w:rPr>
        <w:t>/6</w:t>
      </w:r>
    </w:p>
    <w:p w:rsidR="00D61017" w:rsidRDefault="00D61017"/>
    <w:p w:rsidR="00A06939" w:rsidRDefault="00A06939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1468A2" w:rsidRPr="00952F81" w:rsidTr="00371DC7">
        <w:tc>
          <w:tcPr>
            <w:tcW w:w="9854" w:type="dxa"/>
            <w:gridSpan w:val="2"/>
          </w:tcPr>
          <w:p w:rsidR="001468A2" w:rsidRPr="00952F81" w:rsidRDefault="001468A2" w:rsidP="00A33D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2F81">
              <w:rPr>
                <w:rFonts w:cs="Arial"/>
                <w:b/>
                <w:sz w:val="20"/>
                <w:szCs w:val="20"/>
              </w:rPr>
              <w:t>Заявление об условиях брокерского обслуживания на рынке ценных бумаг</w:t>
            </w:r>
          </w:p>
        </w:tc>
      </w:tr>
      <w:tr w:rsidR="001468A2" w:rsidRPr="00952F81" w:rsidTr="00371DC7">
        <w:tc>
          <w:tcPr>
            <w:tcW w:w="9854" w:type="dxa"/>
            <w:gridSpan w:val="2"/>
          </w:tcPr>
          <w:p w:rsidR="00641431" w:rsidRDefault="00641431" w:rsidP="00A33D00">
            <w:pPr>
              <w:rPr>
                <w:rFonts w:cs="Arial"/>
                <w:sz w:val="20"/>
                <w:szCs w:val="20"/>
              </w:rPr>
            </w:pPr>
          </w:p>
          <w:p w:rsidR="001468A2" w:rsidRPr="00952F81" w:rsidRDefault="001468A2" w:rsidP="00A33D00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 xml:space="preserve">«___» _____________________  _____ г. </w:t>
            </w:r>
          </w:p>
        </w:tc>
      </w:tr>
      <w:tr w:rsidR="001468A2" w:rsidRPr="00952F81" w:rsidTr="00371DC7">
        <w:tc>
          <w:tcPr>
            <w:tcW w:w="9854" w:type="dxa"/>
            <w:gridSpan w:val="2"/>
          </w:tcPr>
          <w:p w:rsidR="0004361E" w:rsidRPr="00952F81" w:rsidRDefault="0004361E" w:rsidP="00A33D00">
            <w:pPr>
              <w:rPr>
                <w:rFonts w:cs="Arial"/>
                <w:sz w:val="20"/>
                <w:szCs w:val="20"/>
              </w:rPr>
            </w:pPr>
          </w:p>
          <w:p w:rsidR="00952F81" w:rsidRDefault="001468A2" w:rsidP="00A33D00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="00952F81">
              <w:rPr>
                <w:rFonts w:cs="Arial"/>
                <w:sz w:val="20"/>
                <w:szCs w:val="20"/>
              </w:rPr>
              <w:t xml:space="preserve"> Заключение                                                                                                       </w:t>
            </w:r>
            <w:r w:rsidR="00952F81"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F81"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="00952F81" w:rsidRPr="00952F81">
              <w:rPr>
                <w:rFonts w:cs="Arial"/>
                <w:sz w:val="20"/>
                <w:szCs w:val="20"/>
              </w:rPr>
              <w:fldChar w:fldCharType="end"/>
            </w:r>
            <w:r w:rsidR="00952F81" w:rsidRPr="00952F81">
              <w:rPr>
                <w:rFonts w:cs="Arial"/>
                <w:sz w:val="20"/>
                <w:szCs w:val="20"/>
              </w:rPr>
              <w:t xml:space="preserve"> Изменение условий</w:t>
            </w:r>
          </w:p>
          <w:p w:rsidR="001468A2" w:rsidRPr="00952F81" w:rsidRDefault="001468A2" w:rsidP="00952F81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>договора о брокерском обслуживании</w:t>
            </w:r>
            <w:r w:rsidRPr="00952F81">
              <w:rPr>
                <w:rFonts w:cs="Arial"/>
                <w:sz w:val="20"/>
                <w:szCs w:val="20"/>
              </w:rPr>
              <w:tab/>
              <w:t xml:space="preserve">   </w:t>
            </w:r>
            <w:r w:rsidR="00952F81">
              <w:rPr>
                <w:rFonts w:cs="Arial"/>
                <w:sz w:val="20"/>
                <w:szCs w:val="20"/>
              </w:rPr>
              <w:t xml:space="preserve">    </w:t>
            </w:r>
            <w:r w:rsidR="00952F81" w:rsidRPr="00952F81">
              <w:rPr>
                <w:rFonts w:cs="Arial"/>
                <w:sz w:val="20"/>
                <w:szCs w:val="20"/>
              </w:rPr>
              <w:t>Регистрационный код ИНВЕСТОРА: ______________</w:t>
            </w:r>
          </w:p>
        </w:tc>
      </w:tr>
      <w:tr w:rsidR="001468A2" w:rsidRPr="00952F81" w:rsidTr="00371DC7">
        <w:tc>
          <w:tcPr>
            <w:tcW w:w="9854" w:type="dxa"/>
            <w:gridSpan w:val="2"/>
          </w:tcPr>
          <w:p w:rsidR="001468A2" w:rsidRPr="00952F81" w:rsidRDefault="001468A2" w:rsidP="00952F81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="00952F81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468A2" w:rsidRPr="00952F81" w:rsidTr="00371DC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468A2" w:rsidRPr="00952F81" w:rsidRDefault="001468A2" w:rsidP="001468A2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>Настоящим</w:t>
            </w:r>
          </w:p>
        </w:tc>
      </w:tr>
      <w:tr w:rsidR="001468A2" w:rsidRPr="00952F81" w:rsidTr="00371DC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468A2" w:rsidRPr="00952F81" w:rsidRDefault="001468A2" w:rsidP="001468A2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F81">
              <w:rPr>
                <w:rFonts w:ascii="Arial" w:hAnsi="Arial" w:cs="Arial"/>
                <w:sz w:val="16"/>
                <w:szCs w:val="16"/>
              </w:rPr>
              <w:t xml:space="preserve">                   (</w:t>
            </w:r>
            <w:r w:rsidRPr="00952F81">
              <w:rPr>
                <w:rFonts w:ascii="Arial" w:hAnsi="Arial" w:cs="Arial"/>
                <w:i/>
                <w:sz w:val="16"/>
                <w:szCs w:val="16"/>
              </w:rPr>
              <w:t>ФИО полностью – для физических лиц; полное наименование, ФИО представителя, на основании какого документа действует - для юридических лиц</w:t>
            </w:r>
            <w:r w:rsidRPr="00952F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468A2" w:rsidRPr="00952F81" w:rsidTr="00371DC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468A2" w:rsidRPr="00952F81" w:rsidRDefault="001468A2" w:rsidP="00A33D00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>(далее – Инвестор)</w:t>
            </w:r>
          </w:p>
        </w:tc>
      </w:tr>
      <w:tr w:rsidR="001468A2" w:rsidRPr="00952F81" w:rsidTr="00371DC7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8A2" w:rsidRPr="00952F81" w:rsidRDefault="001468A2" w:rsidP="001F3537">
            <w:pPr>
              <w:jc w:val="center"/>
              <w:rPr>
                <w:sz w:val="16"/>
                <w:szCs w:val="16"/>
              </w:rPr>
            </w:pPr>
            <w:r w:rsidRPr="00952F81">
              <w:rPr>
                <w:rFonts w:cs="Arial"/>
                <w:sz w:val="16"/>
                <w:szCs w:val="16"/>
              </w:rPr>
              <w:t>(</w:t>
            </w:r>
            <w:r w:rsidRPr="00952F81">
              <w:rPr>
                <w:i/>
                <w:sz w:val="16"/>
                <w:szCs w:val="16"/>
              </w:rPr>
              <w:t>паспортные данные, место регистрации - для физических лиц; ОГРН/Регистрационный номер – для юридических лиц</w:t>
            </w:r>
            <w:r w:rsidRPr="00952F81">
              <w:rPr>
                <w:sz w:val="16"/>
                <w:szCs w:val="16"/>
              </w:rPr>
              <w:t>)</w:t>
            </w:r>
          </w:p>
          <w:p w:rsidR="001F3537" w:rsidRPr="00952F81" w:rsidRDefault="001F3537" w:rsidP="001F353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468A2" w:rsidRPr="00952F81" w:rsidTr="00371DC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468A2" w:rsidRPr="00952F81" w:rsidRDefault="001468A2" w:rsidP="00A33D00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>Подтверждает выбор следующих условий брокерского обслуживания:</w:t>
            </w:r>
          </w:p>
        </w:tc>
      </w:tr>
      <w:tr w:rsidR="001468A2" w:rsidRPr="00952F81" w:rsidTr="00371DC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468A2" w:rsidRPr="00952F81" w:rsidRDefault="001468A2" w:rsidP="00A33D00">
            <w:pPr>
              <w:rPr>
                <w:sz w:val="20"/>
                <w:szCs w:val="20"/>
              </w:rPr>
            </w:pPr>
          </w:p>
        </w:tc>
      </w:tr>
      <w:tr w:rsidR="001468A2" w:rsidRPr="00952F81" w:rsidTr="00371DC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468A2" w:rsidRPr="00952F81" w:rsidRDefault="0004361E" w:rsidP="00A33D00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952F81">
              <w:rPr>
                <w:rFonts w:cs="Arial"/>
                <w:b/>
                <w:sz w:val="20"/>
                <w:szCs w:val="20"/>
                <w:u w:val="single"/>
              </w:rPr>
              <w:t>Проведение операций на следующих рынках и в Торговых системах:</w:t>
            </w:r>
          </w:p>
        </w:tc>
      </w:tr>
      <w:tr w:rsidR="001468A2" w:rsidRPr="00952F81" w:rsidTr="00371DC7">
        <w:tc>
          <w:tcPr>
            <w:tcW w:w="9854" w:type="dxa"/>
            <w:gridSpan w:val="2"/>
          </w:tcPr>
          <w:p w:rsidR="0004361E" w:rsidRPr="00952F81" w:rsidRDefault="0004361E" w:rsidP="0004361E">
            <w:pPr>
              <w:rPr>
                <w:rFonts w:cs="Arial"/>
                <w:sz w:val="20"/>
                <w:szCs w:val="20"/>
              </w:rPr>
            </w:pPr>
          </w:p>
          <w:p w:rsidR="00952F81" w:rsidRDefault="001468A2" w:rsidP="0004361E">
            <w:pPr>
              <w:rPr>
                <w:rFonts w:cs="Arial"/>
                <w:color w:val="000000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Фондовый рынок </w:t>
            </w:r>
            <w:r w:rsidRPr="00952F81">
              <w:rPr>
                <w:rFonts w:cs="Arial"/>
                <w:color w:val="000000"/>
                <w:sz w:val="20"/>
                <w:szCs w:val="20"/>
              </w:rPr>
              <w:t xml:space="preserve">Московской Биржи </w:t>
            </w:r>
          </w:p>
          <w:p w:rsidR="00952F81" w:rsidRDefault="00952F81" w:rsidP="0004361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952F81" w:rsidRDefault="001468A2" w:rsidP="0004361E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Срочный рынок </w:t>
            </w:r>
            <w:r w:rsidRPr="00952F81">
              <w:rPr>
                <w:rFonts w:cs="Arial"/>
                <w:color w:val="000000"/>
                <w:sz w:val="20"/>
                <w:szCs w:val="20"/>
              </w:rPr>
              <w:t>Московской Биржи (</w:t>
            </w:r>
            <w:r w:rsidRPr="00952F81">
              <w:rPr>
                <w:rFonts w:cs="Arial"/>
                <w:sz w:val="20"/>
                <w:szCs w:val="20"/>
              </w:rPr>
              <w:t xml:space="preserve">FORTS) </w:t>
            </w:r>
          </w:p>
          <w:p w:rsidR="00952F81" w:rsidRDefault="00952F81" w:rsidP="0004361E">
            <w:pPr>
              <w:rPr>
                <w:rFonts w:cs="Arial"/>
                <w:sz w:val="20"/>
                <w:szCs w:val="20"/>
              </w:rPr>
            </w:pPr>
          </w:p>
          <w:p w:rsidR="001468A2" w:rsidRPr="00952F81" w:rsidRDefault="001468A2" w:rsidP="0004361E">
            <w:pPr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Внебиржевой рынок</w:t>
            </w:r>
          </w:p>
        </w:tc>
      </w:tr>
      <w:tr w:rsidR="001468A2" w:rsidRPr="00952F81" w:rsidTr="00371DC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468A2" w:rsidRPr="00952F81" w:rsidRDefault="001468A2" w:rsidP="00A33D00">
            <w:pPr>
              <w:pStyle w:val="af1"/>
              <w:ind w:left="0"/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</w:pPr>
            <w:r w:rsidRPr="00952F81"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68A2" w:rsidRPr="00952F81" w:rsidTr="00371DC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468A2" w:rsidRPr="00952F81" w:rsidRDefault="0004361E" w:rsidP="0004361E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52F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Расчет вознаграждения Банка за проведение операций по тарифному плану: </w:t>
            </w:r>
          </w:p>
        </w:tc>
      </w:tr>
      <w:tr w:rsidR="00952F81" w:rsidRPr="00952F81" w:rsidTr="00371DC7">
        <w:tc>
          <w:tcPr>
            <w:tcW w:w="4077" w:type="dxa"/>
            <w:tcBorders>
              <w:bottom w:val="single" w:sz="4" w:space="0" w:color="auto"/>
            </w:tcBorders>
          </w:tcPr>
          <w:p w:rsidR="00662A5F" w:rsidRDefault="00662A5F" w:rsidP="0004361E">
            <w:pPr>
              <w:rPr>
                <w:rFonts w:cs="Arial"/>
                <w:sz w:val="20"/>
                <w:szCs w:val="20"/>
              </w:rPr>
            </w:pPr>
          </w:p>
          <w:p w:rsidR="00952F81" w:rsidRDefault="00952F81" w:rsidP="0004361E">
            <w:pPr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 </w:t>
            </w:r>
            <w:r w:rsidRPr="00952F81"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  <w:t xml:space="preserve">Тарифный план «Финансист» </w:t>
            </w:r>
          </w:p>
          <w:p w:rsidR="00952F81" w:rsidRDefault="00952F81" w:rsidP="0004361E">
            <w:pPr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952F81" w:rsidRDefault="00952F81" w:rsidP="0004361E">
            <w:pPr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  <w:t xml:space="preserve">Тарифный план «Титан» </w:t>
            </w:r>
          </w:p>
          <w:p w:rsidR="00952F81" w:rsidRDefault="00952F81" w:rsidP="0004361E">
            <w:pPr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952F81" w:rsidRDefault="00952F81" w:rsidP="0004361E">
            <w:pPr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  <w:t xml:space="preserve">Тарифный план «Стоик» </w:t>
            </w:r>
          </w:p>
          <w:p w:rsidR="00952F81" w:rsidRPr="00952F81" w:rsidRDefault="00952F81" w:rsidP="0004361E">
            <w:pPr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952F81" w:rsidRPr="00952F81" w:rsidRDefault="00952F81" w:rsidP="0004361E">
            <w:pPr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952F81" w:rsidRDefault="00952F81" w:rsidP="009807BE">
            <w:pPr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cs="Arial"/>
                <w:bCs/>
                <w:color w:val="000000"/>
                <w:sz w:val="20"/>
                <w:szCs w:val="20"/>
                <w:lang w:eastAsia="ru-RU"/>
              </w:rPr>
              <w:t>Тарифный план «День»</w:t>
            </w:r>
            <w:r w:rsidRPr="00952F81">
              <w:rPr>
                <w:rFonts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52F81" w:rsidRDefault="00952F81" w:rsidP="009807BE">
            <w:pPr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  <w:p w:rsidR="00952F81" w:rsidRPr="00952F81" w:rsidRDefault="00952F81" w:rsidP="009807BE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="00371DC7">
              <w:rPr>
                <w:rFonts w:cs="Arial"/>
                <w:sz w:val="20"/>
                <w:szCs w:val="20"/>
              </w:rPr>
              <w:t>Операции РЕПО с Центральным контрагентом</w:t>
            </w:r>
            <w:r w:rsidR="00371DC7">
              <w:rPr>
                <w:rStyle w:val="af"/>
                <w:rFonts w:cs="Arial"/>
                <w:sz w:val="20"/>
                <w:szCs w:val="20"/>
              </w:rPr>
              <w:footnoteReference w:id="1"/>
            </w:r>
          </w:p>
          <w:p w:rsidR="00952F81" w:rsidRPr="00952F81" w:rsidRDefault="00952F81" w:rsidP="009807BE">
            <w:pPr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537" w:rsidRPr="00952F81" w:rsidTr="00371DC7">
        <w:trPr>
          <w:trHeight w:val="257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F3537" w:rsidRPr="00952F81" w:rsidRDefault="001F3537" w:rsidP="009807BE">
            <w:pPr>
              <w:rPr>
                <w:rFonts w:cs="Arial"/>
                <w:b/>
                <w:sz w:val="20"/>
                <w:szCs w:val="20"/>
                <w:u w:val="single"/>
                <w:lang w:eastAsia="ru-RU"/>
              </w:rPr>
            </w:pPr>
            <w:r w:rsidRPr="00952F81">
              <w:rPr>
                <w:rFonts w:cs="Arial"/>
                <w:b/>
                <w:sz w:val="20"/>
                <w:szCs w:val="20"/>
                <w:u w:val="single"/>
              </w:rPr>
              <w:t>Виды сделок:</w:t>
            </w:r>
          </w:p>
        </w:tc>
      </w:tr>
      <w:tr w:rsidR="00641431" w:rsidRPr="00952F81" w:rsidTr="00371DC7">
        <w:trPr>
          <w:trHeight w:val="537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41431" w:rsidRDefault="00641431" w:rsidP="009807BE">
            <w:pPr>
              <w:rPr>
                <w:rFonts w:cs="Arial"/>
                <w:sz w:val="20"/>
                <w:szCs w:val="20"/>
              </w:rPr>
            </w:pPr>
          </w:p>
          <w:p w:rsidR="00641431" w:rsidRPr="00952F81" w:rsidRDefault="00641431" w:rsidP="009807BE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 xml:space="preserve">Заключение Сделок с Ценными бумагами </w:t>
            </w:r>
          </w:p>
          <w:p w:rsidR="00641431" w:rsidRPr="00952F81" w:rsidRDefault="00641431" w:rsidP="009807B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ДА </w:t>
            </w: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НЕТ </w:t>
            </w:r>
          </w:p>
          <w:p w:rsidR="00641431" w:rsidRDefault="00641431" w:rsidP="009807B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641431" w:rsidRPr="00952F81" w:rsidRDefault="00641431" w:rsidP="009807B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F8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Заключение Сделок с Внешними ценными бумагами </w:t>
            </w:r>
          </w:p>
          <w:p w:rsidR="00641431" w:rsidRPr="00952F81" w:rsidRDefault="00641431" w:rsidP="009807B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ДА </w:t>
            </w: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НЕТ </w:t>
            </w:r>
          </w:p>
          <w:p w:rsidR="00641431" w:rsidRDefault="00641431" w:rsidP="006414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641431" w:rsidRPr="00952F81" w:rsidRDefault="00641431" w:rsidP="00641431">
            <w:pPr>
              <w:pStyle w:val="Default"/>
              <w:rPr>
                <w:rFonts w:cs="Arial"/>
                <w:sz w:val="20"/>
                <w:szCs w:val="20"/>
              </w:rPr>
            </w:pPr>
            <w:r w:rsidRPr="00952F81">
              <w:rPr>
                <w:rFonts w:ascii="Arial" w:hAnsi="Arial" w:cs="Arial"/>
                <w:bCs/>
                <w:color w:val="auto"/>
                <w:sz w:val="20"/>
                <w:szCs w:val="20"/>
              </w:rPr>
              <w:t>Заключение Необеспеченных сделок:</w:t>
            </w:r>
          </w:p>
          <w:p w:rsidR="00641431" w:rsidRPr="00952F81" w:rsidRDefault="00641431" w:rsidP="0064143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ДА </w:t>
            </w: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НЕТ </w:t>
            </w:r>
          </w:p>
          <w:p w:rsidR="00641431" w:rsidRDefault="00641431" w:rsidP="00641431">
            <w:pPr>
              <w:rPr>
                <w:rFonts w:cs="Arial"/>
                <w:sz w:val="20"/>
                <w:szCs w:val="20"/>
              </w:rPr>
            </w:pPr>
          </w:p>
          <w:p w:rsidR="00641431" w:rsidRPr="00952F81" w:rsidRDefault="00641431" w:rsidP="00641431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>Заключение Сделок РЕПО</w:t>
            </w:r>
          </w:p>
          <w:p w:rsidR="00641431" w:rsidRPr="00952F81" w:rsidRDefault="00641431" w:rsidP="0064143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ДА </w:t>
            </w: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НЕТ </w:t>
            </w:r>
          </w:p>
          <w:p w:rsidR="00641431" w:rsidRDefault="00641431" w:rsidP="0064143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641431" w:rsidRPr="00952F81" w:rsidRDefault="00641431" w:rsidP="0064143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Заключение Срочных сделок в Торговой системе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FORTS</w:t>
            </w:r>
            <w:r w:rsidRPr="00952F81">
              <w:rPr>
                <w:rStyle w:val="af"/>
                <w:rFonts w:ascii="Arial" w:hAnsi="Arial" w:cs="Arial"/>
                <w:color w:val="auto"/>
                <w:sz w:val="20"/>
                <w:szCs w:val="20"/>
                <w:lang w:val="en-US"/>
              </w:rPr>
              <w:footnoteReference w:id="2"/>
            </w:r>
          </w:p>
          <w:p w:rsidR="00641431" w:rsidRPr="00952F81" w:rsidRDefault="00641431" w:rsidP="00641431">
            <w:pPr>
              <w:pStyle w:val="Default"/>
              <w:rPr>
                <w:rFonts w:cs="Arial"/>
                <w:i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ДА </w:t>
            </w: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НЕТ </w:t>
            </w:r>
          </w:p>
          <w:p w:rsidR="00641431" w:rsidRDefault="00641431" w:rsidP="00641431">
            <w:pPr>
              <w:rPr>
                <w:rFonts w:cs="Arial"/>
                <w:sz w:val="20"/>
                <w:szCs w:val="20"/>
              </w:rPr>
            </w:pPr>
          </w:p>
          <w:p w:rsidR="00641431" w:rsidRPr="00641431" w:rsidRDefault="00641431" w:rsidP="00641431">
            <w:pPr>
              <w:rPr>
                <w:rFonts w:cs="Arial"/>
                <w:sz w:val="20"/>
                <w:szCs w:val="20"/>
              </w:rPr>
            </w:pPr>
            <w:r w:rsidRPr="00641431">
              <w:rPr>
                <w:rFonts w:cs="Arial"/>
                <w:sz w:val="20"/>
                <w:szCs w:val="20"/>
              </w:rPr>
              <w:t xml:space="preserve">Заключение Сделок </w:t>
            </w:r>
            <w:r w:rsidRPr="00641431">
              <w:rPr>
                <w:rFonts w:cs="Arial"/>
                <w:bCs/>
                <w:sz w:val="20"/>
                <w:szCs w:val="20"/>
              </w:rPr>
              <w:t>с Финансовыми инструментами для квалифицированных инвесторов</w:t>
            </w:r>
            <w:r>
              <w:rPr>
                <w:rStyle w:val="af"/>
                <w:rFonts w:cs="Arial"/>
                <w:bCs/>
                <w:sz w:val="20"/>
                <w:szCs w:val="20"/>
              </w:rPr>
              <w:footnoteReference w:id="3"/>
            </w:r>
          </w:p>
          <w:p w:rsidR="00641431" w:rsidRDefault="00641431" w:rsidP="00C5086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ДА </w:t>
            </w: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НЕТ </w:t>
            </w:r>
          </w:p>
          <w:p w:rsidR="00C5086A" w:rsidRPr="00952F81" w:rsidRDefault="00C5086A" w:rsidP="00C508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86A" w:rsidRPr="00952F81" w:rsidTr="00371DC7">
        <w:trPr>
          <w:trHeight w:val="385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C5086A" w:rsidRPr="00684731" w:rsidRDefault="00C5086A" w:rsidP="00C5086A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684731"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>Заключение Сделок с иностранными ценными бумагами и заключение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</w:t>
            </w:r>
          </w:p>
          <w:p w:rsidR="00C5086A" w:rsidRPr="00952F81" w:rsidRDefault="00C5086A" w:rsidP="00C5086A">
            <w:pPr>
              <w:pStyle w:val="Default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C5086A" w:rsidRPr="00952F81" w:rsidTr="00371DC7">
        <w:trPr>
          <w:trHeight w:val="385"/>
        </w:trPr>
        <w:tc>
          <w:tcPr>
            <w:tcW w:w="9854" w:type="dxa"/>
            <w:gridSpan w:val="2"/>
          </w:tcPr>
          <w:p w:rsidR="00C5086A" w:rsidRPr="00952F81" w:rsidRDefault="00C5086A" w:rsidP="00C5086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ДА </w:t>
            </w: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НЕТ </w:t>
            </w:r>
          </w:p>
          <w:p w:rsidR="00C5086A" w:rsidRPr="00C5086A" w:rsidRDefault="00C5086A" w:rsidP="00C5086A">
            <w:pPr>
              <w:rPr>
                <w:rFonts w:cs="Arial"/>
                <w:sz w:val="20"/>
                <w:szCs w:val="20"/>
              </w:rPr>
            </w:pPr>
          </w:p>
        </w:tc>
      </w:tr>
      <w:tr w:rsidR="00C5086A" w:rsidRPr="00952F81" w:rsidTr="00371DC7">
        <w:trPr>
          <w:trHeight w:val="385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C5086A" w:rsidRPr="00C5086A" w:rsidRDefault="00C5086A" w:rsidP="00C5086A">
            <w:pPr>
              <w:rPr>
                <w:rFonts w:cs="Arial"/>
                <w:sz w:val="20"/>
                <w:szCs w:val="20"/>
              </w:rPr>
            </w:pPr>
            <w:r w:rsidRPr="00C5086A">
              <w:rPr>
                <w:rFonts w:cs="Arial"/>
                <w:sz w:val="20"/>
                <w:szCs w:val="20"/>
              </w:rPr>
              <w:t>Инвестор настоящим подтверждает, что уведомлен Банком о рисках, связанных с осуществлением операций на рынке ценных бумаг, в том числе о рисках, связанных с приобретением иностранных ценных бумаг и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бумагам.</w:t>
            </w:r>
          </w:p>
          <w:p w:rsidR="00C5086A" w:rsidRPr="00C5086A" w:rsidRDefault="00C5086A" w:rsidP="00FB37EA">
            <w:pPr>
              <w:rPr>
                <w:rFonts w:cs="Arial"/>
                <w:sz w:val="20"/>
                <w:szCs w:val="20"/>
              </w:rPr>
            </w:pPr>
            <w:r w:rsidRPr="00C5086A">
              <w:rPr>
                <w:rFonts w:cs="Arial"/>
                <w:sz w:val="20"/>
                <w:szCs w:val="20"/>
              </w:rPr>
              <w:t>Подписью на настоящем Заявлении Инвестор подтверждает ознакомление с Декларацией о рисках, связанных с приобретением иностранных ценных бумаг и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утвержденной в Банке</w:t>
            </w:r>
            <w:r w:rsidR="00FB37EA">
              <w:rPr>
                <w:rFonts w:cs="Arial"/>
                <w:sz w:val="20"/>
                <w:szCs w:val="20"/>
              </w:rPr>
              <w:t xml:space="preserve"> (ТФ-2108-31 и ТФ-2108-32 для физических лиц / ТФ-2108-33 и ТФ-2108-34 для юридических лиц)</w:t>
            </w:r>
            <w:r w:rsidRPr="00C5086A">
              <w:rPr>
                <w:rFonts w:cs="Arial"/>
                <w:sz w:val="20"/>
                <w:szCs w:val="20"/>
              </w:rPr>
              <w:t>.</w:t>
            </w:r>
          </w:p>
        </w:tc>
      </w:tr>
      <w:tr w:rsidR="001F3537" w:rsidRPr="00952F81" w:rsidTr="00371DC7">
        <w:trPr>
          <w:trHeight w:val="255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C5086A" w:rsidRDefault="00C5086A" w:rsidP="00A33D00">
            <w:pPr>
              <w:rPr>
                <w:rFonts w:cs="Arial"/>
                <w:b/>
                <w:sz w:val="20"/>
                <w:szCs w:val="20"/>
                <w:u w:val="single"/>
                <w:lang w:eastAsia="ru-RU"/>
              </w:rPr>
            </w:pPr>
          </w:p>
          <w:p w:rsidR="001F3537" w:rsidRPr="00952F81" w:rsidRDefault="00090D8C" w:rsidP="00A33D00">
            <w:pPr>
              <w:rPr>
                <w:rFonts w:cs="Arial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cs="Arial"/>
                <w:b/>
                <w:sz w:val="20"/>
                <w:szCs w:val="20"/>
                <w:u w:val="single"/>
                <w:lang w:val="en-US" w:eastAsia="ru-RU"/>
              </w:rPr>
              <w:t>QUIK</w:t>
            </w:r>
            <w:r w:rsidR="001F3537" w:rsidRPr="00952F81">
              <w:rPr>
                <w:rFonts w:cs="Arial"/>
                <w:b/>
                <w:sz w:val="20"/>
                <w:szCs w:val="20"/>
                <w:u w:val="single"/>
                <w:lang w:eastAsia="ru-RU"/>
              </w:rPr>
              <w:t>:</w:t>
            </w:r>
          </w:p>
        </w:tc>
      </w:tr>
      <w:tr w:rsidR="001F3537" w:rsidRPr="00952F81" w:rsidTr="00371DC7">
        <w:trPr>
          <w:trHeight w:val="255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41431" w:rsidRDefault="00641431" w:rsidP="001F3537">
            <w:pPr>
              <w:rPr>
                <w:rFonts w:cs="Arial"/>
                <w:sz w:val="20"/>
                <w:szCs w:val="20"/>
              </w:rPr>
            </w:pPr>
          </w:p>
          <w:p w:rsidR="001F3537" w:rsidRPr="00952F81" w:rsidRDefault="001F3537" w:rsidP="001F353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F8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Использование для проведения операций Рабочего места QUIK </w:t>
            </w:r>
          </w:p>
          <w:p w:rsidR="001F3537" w:rsidRPr="00952F81" w:rsidRDefault="001F3537" w:rsidP="00952F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ДА </w:t>
            </w: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ascii="Arial" w:hAnsi="Arial" w:cs="Arial"/>
                <w:color w:val="auto"/>
                <w:sz w:val="20"/>
                <w:szCs w:val="20"/>
              </w:rPr>
              <w:t xml:space="preserve"> НЕТ </w:t>
            </w:r>
          </w:p>
          <w:p w:rsidR="00952F81" w:rsidRPr="00952F81" w:rsidRDefault="00952F81" w:rsidP="00952F81">
            <w:pPr>
              <w:pStyle w:val="Default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807BE" w:rsidRPr="00952F81" w:rsidTr="00371DC7">
        <w:trPr>
          <w:trHeight w:val="255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684731" w:rsidRDefault="00684731" w:rsidP="00A33D00">
            <w:pPr>
              <w:rPr>
                <w:rFonts w:cs="Arial"/>
                <w:b/>
                <w:sz w:val="20"/>
                <w:szCs w:val="20"/>
                <w:u w:val="single"/>
                <w:lang w:eastAsia="ru-RU"/>
              </w:rPr>
            </w:pPr>
          </w:p>
          <w:p w:rsidR="009807BE" w:rsidRPr="00952F81" w:rsidRDefault="00CC430E" w:rsidP="00A33D00">
            <w:pPr>
              <w:rPr>
                <w:rFonts w:cs="Arial"/>
                <w:b/>
                <w:sz w:val="20"/>
                <w:szCs w:val="20"/>
                <w:u w:val="single"/>
                <w:lang w:eastAsia="ru-RU"/>
              </w:rPr>
            </w:pPr>
            <w:r w:rsidRPr="00952F81">
              <w:rPr>
                <w:rFonts w:cs="Arial"/>
                <w:b/>
                <w:sz w:val="20"/>
                <w:szCs w:val="20"/>
                <w:u w:val="single"/>
                <w:lang w:eastAsia="ru-RU"/>
              </w:rPr>
              <w:t>Депозитарный учет:</w:t>
            </w:r>
          </w:p>
        </w:tc>
      </w:tr>
      <w:tr w:rsidR="009807BE" w:rsidRPr="00952F81" w:rsidTr="00371DC7">
        <w:trPr>
          <w:trHeight w:val="1012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41431" w:rsidRDefault="00641431" w:rsidP="00CC430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C430E" w:rsidRPr="00952F81" w:rsidRDefault="00CC430E" w:rsidP="00684731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52F81">
              <w:rPr>
                <w:rFonts w:ascii="Arial" w:hAnsi="Arial" w:cs="Arial"/>
                <w:bCs/>
                <w:sz w:val="20"/>
                <w:szCs w:val="20"/>
              </w:rPr>
              <w:t xml:space="preserve">Депозитарный учет в Депозитарии Банка </w:t>
            </w:r>
          </w:p>
          <w:p w:rsidR="00CC430E" w:rsidRPr="00952F81" w:rsidRDefault="00CC430E" w:rsidP="00CC430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52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ascii="Arial" w:hAnsi="Arial" w:cs="Arial"/>
                <w:sz w:val="20"/>
                <w:szCs w:val="20"/>
              </w:rPr>
            </w:r>
            <w:r w:rsidR="00974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2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2F81">
              <w:rPr>
                <w:rFonts w:ascii="Arial" w:hAnsi="Arial" w:cs="Arial"/>
                <w:sz w:val="20"/>
                <w:szCs w:val="20"/>
              </w:rPr>
              <w:t xml:space="preserve"> ДА   </w:t>
            </w:r>
            <w:r w:rsidRPr="00952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ascii="Arial" w:hAnsi="Arial" w:cs="Arial"/>
                <w:sz w:val="20"/>
                <w:szCs w:val="20"/>
              </w:rPr>
            </w:r>
            <w:r w:rsidR="00974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2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2F81">
              <w:rPr>
                <w:rFonts w:ascii="Arial" w:hAnsi="Arial" w:cs="Arial"/>
                <w:sz w:val="20"/>
                <w:szCs w:val="20"/>
              </w:rPr>
              <w:t xml:space="preserve">НЕТ </w:t>
            </w:r>
          </w:p>
          <w:p w:rsidR="003B6094" w:rsidRDefault="003B6094" w:rsidP="003B6094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6094" w:rsidRPr="00952F81" w:rsidRDefault="003B6094" w:rsidP="003B6094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52F81">
              <w:rPr>
                <w:rFonts w:ascii="Arial" w:hAnsi="Arial" w:cs="Arial"/>
                <w:bCs/>
                <w:sz w:val="20"/>
                <w:szCs w:val="20"/>
              </w:rPr>
              <w:t xml:space="preserve">Депозитарный учет в </w:t>
            </w:r>
            <w:r w:rsidRPr="00952F81">
              <w:rPr>
                <w:rFonts w:ascii="Arial" w:hAnsi="Arial" w:cs="Arial"/>
                <w:iCs/>
                <w:sz w:val="20"/>
                <w:szCs w:val="20"/>
              </w:rPr>
              <w:t xml:space="preserve">ООО «РБ Спецдепозитарий» </w:t>
            </w:r>
          </w:p>
          <w:p w:rsidR="003B6094" w:rsidRPr="00952F81" w:rsidRDefault="003B6094" w:rsidP="003B60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52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ascii="Arial" w:hAnsi="Arial" w:cs="Arial"/>
                <w:sz w:val="20"/>
                <w:szCs w:val="20"/>
              </w:rPr>
            </w:r>
            <w:r w:rsidR="00974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2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2F81">
              <w:rPr>
                <w:rFonts w:ascii="Arial" w:hAnsi="Arial" w:cs="Arial"/>
                <w:sz w:val="20"/>
                <w:szCs w:val="20"/>
              </w:rPr>
              <w:t xml:space="preserve"> ДА   </w:t>
            </w:r>
            <w:r w:rsidRPr="00952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ascii="Arial" w:hAnsi="Arial" w:cs="Arial"/>
                <w:sz w:val="20"/>
                <w:szCs w:val="20"/>
              </w:rPr>
            </w:r>
            <w:r w:rsidR="00974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2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2F81">
              <w:rPr>
                <w:rFonts w:ascii="Arial" w:hAnsi="Arial" w:cs="Arial"/>
                <w:sz w:val="20"/>
                <w:szCs w:val="20"/>
              </w:rPr>
              <w:t xml:space="preserve">НЕТ </w:t>
            </w:r>
          </w:p>
          <w:p w:rsidR="00641431" w:rsidRDefault="00641431" w:rsidP="00CC430E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C430E" w:rsidRPr="00952F81" w:rsidRDefault="00CC430E" w:rsidP="00CC430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52F81">
              <w:rPr>
                <w:rFonts w:ascii="Arial" w:hAnsi="Arial" w:cs="Arial"/>
                <w:iCs/>
                <w:sz w:val="20"/>
                <w:szCs w:val="20"/>
              </w:rPr>
              <w:t xml:space="preserve">Депозитарный учет в </w:t>
            </w:r>
            <w:r w:rsidR="003B6094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r w:rsidR="003B6094" w:rsidRPr="00952F81">
              <w:rPr>
                <w:rFonts w:ascii="Arial" w:hAnsi="Arial" w:cs="Arial"/>
                <w:iCs/>
                <w:sz w:val="20"/>
                <w:szCs w:val="20"/>
              </w:rPr>
              <w:t xml:space="preserve">тороннем </w:t>
            </w:r>
            <w:r w:rsidRPr="00952F81">
              <w:rPr>
                <w:rFonts w:ascii="Arial" w:hAnsi="Arial" w:cs="Arial"/>
                <w:iCs/>
                <w:sz w:val="20"/>
                <w:szCs w:val="20"/>
              </w:rPr>
              <w:t xml:space="preserve">депозитарии </w:t>
            </w:r>
          </w:p>
          <w:p w:rsidR="009807BE" w:rsidRDefault="00CC430E" w:rsidP="005D5986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ДА   </w:t>
            </w: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>НЕТ</w:t>
            </w:r>
          </w:p>
          <w:p w:rsidR="00662A5F" w:rsidRPr="00952F81" w:rsidRDefault="00662A5F" w:rsidP="005D5986">
            <w:pPr>
              <w:rPr>
                <w:rFonts w:cs="Arial"/>
                <w:sz w:val="20"/>
                <w:szCs w:val="20"/>
              </w:rPr>
            </w:pPr>
          </w:p>
        </w:tc>
      </w:tr>
      <w:tr w:rsidR="00E34ABE" w:rsidRPr="00952F81" w:rsidTr="00371DC7">
        <w:trPr>
          <w:trHeight w:val="29"/>
        </w:trPr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ABE" w:rsidRPr="00662A5F" w:rsidRDefault="00CC430E" w:rsidP="00CC430E">
            <w:pPr>
              <w:jc w:val="center"/>
              <w:rPr>
                <w:rFonts w:cs="Arial"/>
                <w:b/>
                <w:sz w:val="16"/>
                <w:szCs w:val="16"/>
                <w:u w:val="single"/>
                <w:lang w:eastAsia="ru-RU"/>
              </w:rPr>
            </w:pPr>
            <w:r w:rsidRPr="00662A5F">
              <w:rPr>
                <w:rFonts w:cs="Arial"/>
                <w:color w:val="000000"/>
                <w:sz w:val="16"/>
                <w:szCs w:val="16"/>
                <w:lang w:eastAsia="ru-RU"/>
              </w:rPr>
              <w:t>(</w:t>
            </w:r>
            <w:r w:rsidRPr="00662A5F">
              <w:rPr>
                <w:rFonts w:cs="Arial"/>
                <w:i/>
                <w:color w:val="000000"/>
                <w:sz w:val="16"/>
                <w:szCs w:val="16"/>
                <w:lang w:eastAsia="ru-RU"/>
              </w:rPr>
              <w:t xml:space="preserve">наименование депозитария / </w:t>
            </w:r>
            <w:r w:rsidRPr="00662A5F">
              <w:rPr>
                <w:rFonts w:cs="Arial"/>
                <w:i/>
                <w:iCs/>
                <w:sz w:val="16"/>
                <w:szCs w:val="16"/>
              </w:rPr>
              <w:t>стороннего депозитария)</w:t>
            </w:r>
          </w:p>
        </w:tc>
      </w:tr>
      <w:tr w:rsidR="001468A2" w:rsidRPr="00952F81" w:rsidTr="00371DC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468A2" w:rsidRPr="00952F81" w:rsidRDefault="001468A2" w:rsidP="00052CEC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>Автоматизированная и неавтоматизированная обработка персональных данных, указанных в настояще</w:t>
            </w:r>
            <w:r w:rsidR="003E109A" w:rsidRPr="00952F81">
              <w:rPr>
                <w:rFonts w:cs="Arial"/>
                <w:sz w:val="20"/>
                <w:szCs w:val="20"/>
              </w:rPr>
              <w:t>м</w:t>
            </w:r>
            <w:r w:rsidRPr="00952F81">
              <w:rPr>
                <w:rFonts w:cs="Arial"/>
                <w:sz w:val="20"/>
                <w:szCs w:val="20"/>
              </w:rPr>
              <w:t xml:space="preserve"> </w:t>
            </w:r>
            <w:r w:rsidR="003E109A" w:rsidRPr="00952F81">
              <w:rPr>
                <w:rFonts w:cs="Arial"/>
                <w:sz w:val="20"/>
                <w:szCs w:val="20"/>
              </w:rPr>
              <w:t>Заявлении</w:t>
            </w:r>
            <w:r w:rsidRPr="00952F81">
              <w:rPr>
                <w:rFonts w:cs="Arial"/>
                <w:sz w:val="20"/>
                <w:szCs w:val="20"/>
              </w:rPr>
              <w:t>, осуществляется Банком</w:t>
            </w:r>
            <w:r w:rsidR="00052CEC" w:rsidRPr="00052CEC">
              <w:rPr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cs="Arial"/>
                <w:sz w:val="20"/>
                <w:szCs w:val="20"/>
              </w:rPr>
              <w:t>с целью исполнения поручения Инвестора. Обработка включает в себя: сбор, запись, систематизацию, хранение, извлечение, использование, передачу (предоставление) третьим лицам</w:t>
            </w:r>
            <w:r w:rsidRPr="00952F81">
              <w:rPr>
                <w:rStyle w:val="af"/>
                <w:rFonts w:cs="Arial"/>
                <w:sz w:val="20"/>
                <w:szCs w:val="20"/>
              </w:rPr>
              <w:footnoteReference w:id="4"/>
            </w:r>
            <w:r w:rsidRPr="00952F81">
              <w:rPr>
                <w:rFonts w:cs="Arial"/>
                <w:sz w:val="20"/>
                <w:szCs w:val="20"/>
              </w:rPr>
              <w:t>, их работникам и уполномоченным ими лицам, включая трансграничную передачу на территории иностранных государств, обеспечивающих адекватную защиту прав субъектов персональных данных, обезличивание, блокирование и уничтожение. Срок обработки персональных данных ограничивается сроком действия Договора о брокерском обслуживании, заключенного между Банком и Инвестором.</w:t>
            </w:r>
          </w:p>
        </w:tc>
      </w:tr>
      <w:tr w:rsidR="001468A2" w:rsidRPr="00952F81" w:rsidTr="00371DC7">
        <w:tc>
          <w:tcPr>
            <w:tcW w:w="9854" w:type="dxa"/>
            <w:gridSpan w:val="2"/>
          </w:tcPr>
          <w:p w:rsidR="001F3537" w:rsidRPr="00952F81" w:rsidRDefault="001F3537" w:rsidP="00A33D00">
            <w:pPr>
              <w:rPr>
                <w:rFonts w:cs="Arial"/>
                <w:sz w:val="20"/>
                <w:szCs w:val="20"/>
              </w:rPr>
            </w:pPr>
          </w:p>
          <w:p w:rsidR="001468A2" w:rsidRPr="00952F81" w:rsidRDefault="001468A2" w:rsidP="00A33D00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 xml:space="preserve">Подпись </w:t>
            </w: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ИНВЕСТОРА / </w:t>
            </w:r>
            <w:r w:rsidRPr="00952F81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74B74">
              <w:rPr>
                <w:rFonts w:cs="Arial"/>
                <w:sz w:val="20"/>
                <w:szCs w:val="20"/>
              </w:rPr>
            </w:r>
            <w:r w:rsidR="00974B74">
              <w:rPr>
                <w:rFonts w:cs="Arial"/>
                <w:sz w:val="20"/>
                <w:szCs w:val="20"/>
              </w:rPr>
              <w:fldChar w:fldCharType="separate"/>
            </w:r>
            <w:r w:rsidRPr="00952F81">
              <w:rPr>
                <w:rFonts w:cs="Arial"/>
                <w:sz w:val="20"/>
                <w:szCs w:val="20"/>
              </w:rPr>
              <w:fldChar w:fldCharType="end"/>
            </w:r>
            <w:r w:rsidRPr="00952F81">
              <w:rPr>
                <w:rFonts w:cs="Arial"/>
                <w:sz w:val="20"/>
                <w:szCs w:val="20"/>
              </w:rPr>
              <w:t xml:space="preserve"> представителя ИНВЕСТОРА:</w:t>
            </w:r>
          </w:p>
        </w:tc>
      </w:tr>
      <w:tr w:rsidR="001468A2" w:rsidRPr="00952F81" w:rsidTr="00371DC7">
        <w:tc>
          <w:tcPr>
            <w:tcW w:w="9854" w:type="dxa"/>
            <w:gridSpan w:val="2"/>
          </w:tcPr>
          <w:p w:rsidR="001468A2" w:rsidRPr="00952F81" w:rsidRDefault="001468A2" w:rsidP="00286F63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 xml:space="preserve">_________________________________________/_______________________ </w:t>
            </w:r>
          </w:p>
        </w:tc>
      </w:tr>
      <w:tr w:rsidR="001468A2" w:rsidRPr="00952F81" w:rsidTr="00371DC7">
        <w:tc>
          <w:tcPr>
            <w:tcW w:w="9854" w:type="dxa"/>
            <w:gridSpan w:val="2"/>
          </w:tcPr>
          <w:p w:rsidR="001468A2" w:rsidRPr="00952F81" w:rsidRDefault="001468A2" w:rsidP="00A33D00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ab/>
              <w:t xml:space="preserve">           (</w:t>
            </w:r>
            <w:r w:rsidRPr="00952F81">
              <w:rPr>
                <w:rFonts w:cs="Arial"/>
                <w:i/>
                <w:sz w:val="20"/>
                <w:szCs w:val="20"/>
              </w:rPr>
              <w:t>ФИО полностью</w:t>
            </w:r>
            <w:r w:rsidRPr="00952F81">
              <w:rPr>
                <w:rFonts w:cs="Arial"/>
                <w:sz w:val="20"/>
                <w:szCs w:val="20"/>
              </w:rPr>
              <w:t>)                                               (</w:t>
            </w:r>
            <w:r w:rsidRPr="00952F81">
              <w:rPr>
                <w:rFonts w:cs="Arial"/>
                <w:i/>
                <w:sz w:val="20"/>
                <w:szCs w:val="20"/>
              </w:rPr>
              <w:t>подпись</w:t>
            </w:r>
            <w:r w:rsidRPr="00952F81">
              <w:rPr>
                <w:rFonts w:cs="Arial"/>
                <w:sz w:val="20"/>
                <w:szCs w:val="20"/>
              </w:rPr>
              <w:t>)</w:t>
            </w:r>
          </w:p>
        </w:tc>
      </w:tr>
      <w:tr w:rsidR="001468A2" w:rsidRPr="00952F81" w:rsidTr="007C42AD">
        <w:tc>
          <w:tcPr>
            <w:tcW w:w="9854" w:type="dxa"/>
            <w:gridSpan w:val="2"/>
          </w:tcPr>
          <w:p w:rsidR="001468A2" w:rsidRPr="00952F81" w:rsidRDefault="001468A2" w:rsidP="00A33D00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 xml:space="preserve">                                                               М.П.</w:t>
            </w:r>
            <w:r w:rsidRPr="00952F81">
              <w:rPr>
                <w:rStyle w:val="af"/>
                <w:rFonts w:cs="Arial"/>
                <w:sz w:val="20"/>
                <w:szCs w:val="20"/>
              </w:rPr>
              <w:t xml:space="preserve"> </w:t>
            </w:r>
            <w:r w:rsidRPr="00952F81">
              <w:rPr>
                <w:rFonts w:cs="Arial"/>
                <w:sz w:val="20"/>
                <w:szCs w:val="20"/>
              </w:rPr>
              <w:t>(</w:t>
            </w:r>
            <w:r w:rsidRPr="00952F81">
              <w:rPr>
                <w:rFonts w:cs="Arial"/>
                <w:i/>
                <w:sz w:val="20"/>
                <w:szCs w:val="20"/>
              </w:rPr>
              <w:t>при наличии</w:t>
            </w:r>
            <w:r w:rsidRPr="00952F81">
              <w:rPr>
                <w:rFonts w:cs="Arial"/>
                <w:sz w:val="20"/>
                <w:szCs w:val="20"/>
              </w:rPr>
              <w:t>)</w:t>
            </w:r>
          </w:p>
        </w:tc>
      </w:tr>
      <w:tr w:rsidR="007C42AD" w:rsidRPr="00952F81" w:rsidTr="007C42A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7C42AD" w:rsidRPr="00952F81" w:rsidRDefault="007C42AD" w:rsidP="00A33D00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1468A2" w:rsidRPr="00952F81" w:rsidTr="007C42A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468A2" w:rsidRPr="00952F81" w:rsidRDefault="001468A2" w:rsidP="00A33D0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952F81">
              <w:rPr>
                <w:rFonts w:cs="Arial"/>
                <w:b/>
                <w:sz w:val="20"/>
                <w:szCs w:val="20"/>
              </w:rPr>
              <w:t>Для служебных отметок Банка</w:t>
            </w:r>
          </w:p>
        </w:tc>
      </w:tr>
      <w:tr w:rsidR="001468A2" w:rsidRPr="00952F81" w:rsidTr="00371DC7">
        <w:tc>
          <w:tcPr>
            <w:tcW w:w="9854" w:type="dxa"/>
            <w:gridSpan w:val="2"/>
          </w:tcPr>
          <w:p w:rsidR="001468A2" w:rsidRPr="00952F81" w:rsidRDefault="001468A2" w:rsidP="00286F63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 xml:space="preserve">Номер </w:t>
            </w:r>
            <w:r w:rsidR="00286F63" w:rsidRPr="00952F81">
              <w:rPr>
                <w:rFonts w:cs="Arial"/>
                <w:sz w:val="20"/>
                <w:szCs w:val="20"/>
              </w:rPr>
              <w:t>Заявления</w:t>
            </w:r>
            <w:r w:rsidRPr="00952F81">
              <w:rPr>
                <w:rFonts w:cs="Arial"/>
                <w:sz w:val="20"/>
                <w:szCs w:val="20"/>
              </w:rPr>
              <w:t xml:space="preserve"> - __________________________________________</w:t>
            </w:r>
          </w:p>
        </w:tc>
      </w:tr>
      <w:tr w:rsidR="001468A2" w:rsidRPr="00952F81" w:rsidTr="00371DC7">
        <w:tc>
          <w:tcPr>
            <w:tcW w:w="9854" w:type="dxa"/>
            <w:gridSpan w:val="2"/>
          </w:tcPr>
          <w:p w:rsidR="00662A5F" w:rsidRDefault="00662A5F" w:rsidP="00286F63">
            <w:pPr>
              <w:rPr>
                <w:rFonts w:cs="Arial"/>
                <w:sz w:val="20"/>
                <w:szCs w:val="20"/>
              </w:rPr>
            </w:pPr>
          </w:p>
          <w:p w:rsidR="001468A2" w:rsidRPr="00952F81" w:rsidRDefault="00286F63" w:rsidP="00286F63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>Заявление</w:t>
            </w:r>
            <w:r w:rsidR="001468A2" w:rsidRPr="00952F81">
              <w:rPr>
                <w:rFonts w:cs="Arial"/>
                <w:sz w:val="20"/>
                <w:szCs w:val="20"/>
              </w:rPr>
              <w:t xml:space="preserve"> получен</w:t>
            </w:r>
            <w:r w:rsidRPr="00952F81">
              <w:rPr>
                <w:rFonts w:cs="Arial"/>
                <w:sz w:val="20"/>
                <w:szCs w:val="20"/>
              </w:rPr>
              <w:t>о</w:t>
            </w:r>
            <w:r w:rsidR="001468A2" w:rsidRPr="00952F81">
              <w:rPr>
                <w:rFonts w:cs="Arial"/>
                <w:sz w:val="20"/>
                <w:szCs w:val="20"/>
              </w:rPr>
              <w:t xml:space="preserve"> «___» _______________ ______ г.  в ____:____:____ московского времени</w:t>
            </w:r>
          </w:p>
        </w:tc>
      </w:tr>
      <w:tr w:rsidR="001468A2" w:rsidRPr="00952F81" w:rsidTr="00371DC7">
        <w:tc>
          <w:tcPr>
            <w:tcW w:w="9854" w:type="dxa"/>
            <w:gridSpan w:val="2"/>
          </w:tcPr>
          <w:p w:rsidR="00662A5F" w:rsidRDefault="00662A5F" w:rsidP="00286F63">
            <w:pPr>
              <w:rPr>
                <w:rFonts w:cs="Arial"/>
                <w:sz w:val="20"/>
                <w:szCs w:val="20"/>
              </w:rPr>
            </w:pPr>
          </w:p>
          <w:p w:rsidR="001468A2" w:rsidRPr="00952F81" w:rsidRDefault="00286F63" w:rsidP="00286F63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>Заявление</w:t>
            </w:r>
            <w:r w:rsidR="001468A2" w:rsidRPr="00952F81">
              <w:rPr>
                <w:rFonts w:cs="Arial"/>
                <w:sz w:val="20"/>
                <w:szCs w:val="20"/>
              </w:rPr>
              <w:t xml:space="preserve"> зарегистрирова</w:t>
            </w:r>
            <w:r w:rsidRPr="00952F81">
              <w:rPr>
                <w:rFonts w:cs="Arial"/>
                <w:sz w:val="20"/>
                <w:szCs w:val="20"/>
              </w:rPr>
              <w:t>но</w:t>
            </w:r>
            <w:r w:rsidR="001468A2" w:rsidRPr="00952F81">
              <w:rPr>
                <w:rFonts w:cs="Arial"/>
                <w:sz w:val="20"/>
                <w:szCs w:val="20"/>
              </w:rPr>
              <w:t xml:space="preserve"> __________________________________ /_________________________</w:t>
            </w:r>
          </w:p>
        </w:tc>
      </w:tr>
      <w:tr w:rsidR="001468A2" w:rsidRPr="00952F81" w:rsidTr="00371DC7">
        <w:tc>
          <w:tcPr>
            <w:tcW w:w="9854" w:type="dxa"/>
            <w:gridSpan w:val="2"/>
          </w:tcPr>
          <w:p w:rsidR="001468A2" w:rsidRPr="00952F81" w:rsidRDefault="001468A2">
            <w:pPr>
              <w:rPr>
                <w:rFonts w:cs="Arial"/>
                <w:sz w:val="20"/>
                <w:szCs w:val="20"/>
              </w:rPr>
            </w:pPr>
            <w:r w:rsidRPr="00952F81">
              <w:rPr>
                <w:rFonts w:cs="Arial"/>
                <w:sz w:val="20"/>
                <w:szCs w:val="20"/>
              </w:rPr>
              <w:t xml:space="preserve">                                                (</w:t>
            </w:r>
            <w:r w:rsidRPr="00952F81">
              <w:rPr>
                <w:rFonts w:cs="Arial"/>
                <w:i/>
                <w:sz w:val="20"/>
                <w:szCs w:val="20"/>
              </w:rPr>
              <w:t xml:space="preserve">Код или Ф.И.О. </w:t>
            </w:r>
            <w:r w:rsidR="000849DC">
              <w:rPr>
                <w:rFonts w:cs="Arial"/>
                <w:i/>
                <w:sz w:val="20"/>
                <w:szCs w:val="20"/>
              </w:rPr>
              <w:t>работника</w:t>
            </w:r>
            <w:r w:rsidRPr="00952F81">
              <w:rPr>
                <w:rFonts w:cs="Arial"/>
                <w:sz w:val="20"/>
                <w:szCs w:val="20"/>
              </w:rPr>
              <w:t>)                      (</w:t>
            </w:r>
            <w:r w:rsidRPr="00952F81">
              <w:rPr>
                <w:rFonts w:cs="Arial"/>
                <w:i/>
                <w:sz w:val="20"/>
                <w:szCs w:val="20"/>
              </w:rPr>
              <w:t xml:space="preserve">подпись </w:t>
            </w:r>
            <w:r w:rsidR="000849DC">
              <w:rPr>
                <w:rFonts w:cs="Arial"/>
                <w:i/>
                <w:sz w:val="20"/>
                <w:szCs w:val="20"/>
              </w:rPr>
              <w:t>работника</w:t>
            </w:r>
            <w:r w:rsidRPr="00952F81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3A6C1B" w:rsidRPr="00952F81" w:rsidRDefault="003A6C1B" w:rsidP="001468A2">
      <w:pPr>
        <w:rPr>
          <w:rFonts w:cs="Arial"/>
          <w:sz w:val="20"/>
          <w:szCs w:val="20"/>
        </w:rPr>
      </w:pPr>
    </w:p>
    <w:sectPr w:rsidR="003A6C1B" w:rsidRPr="00952F81" w:rsidSect="00046D70">
      <w:headerReference w:type="default" r:id="rId11"/>
      <w:footerReference w:type="default" r:id="rId12"/>
      <w:pgSz w:w="11906" w:h="16838" w:code="9"/>
      <w:pgMar w:top="851" w:right="1134" w:bottom="851" w:left="1134" w:header="7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62" w:rsidRDefault="009A7062">
      <w:r>
        <w:separator/>
      </w:r>
    </w:p>
  </w:endnote>
  <w:endnote w:type="continuationSeparator" w:id="0">
    <w:p w:rsidR="009A7062" w:rsidRDefault="009A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62672"/>
      <w:docPartObj>
        <w:docPartGallery w:val="Page Numbers (Bottom of Page)"/>
        <w:docPartUnique/>
      </w:docPartObj>
    </w:sdtPr>
    <w:sdtEndPr/>
    <w:sdtContent>
      <w:p w:rsidR="007F0DB3" w:rsidRDefault="007E579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B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0DB3" w:rsidRDefault="007F0D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62" w:rsidRDefault="009A7062">
      <w:r>
        <w:separator/>
      </w:r>
    </w:p>
  </w:footnote>
  <w:footnote w:type="continuationSeparator" w:id="0">
    <w:p w:rsidR="009A7062" w:rsidRDefault="009A7062">
      <w:r>
        <w:continuationSeparator/>
      </w:r>
    </w:p>
  </w:footnote>
  <w:footnote w:id="1">
    <w:p w:rsidR="00371DC7" w:rsidRDefault="00371DC7">
      <w:pPr>
        <w:pStyle w:val="ad"/>
      </w:pPr>
      <w:r>
        <w:rPr>
          <w:rStyle w:val="af"/>
        </w:rPr>
        <w:footnoteRef/>
      </w:r>
      <w:r>
        <w:t xml:space="preserve"> </w:t>
      </w:r>
      <w:r w:rsidRPr="00371DC7">
        <w:rPr>
          <w:sz w:val="16"/>
          <w:szCs w:val="16"/>
        </w:rPr>
        <w:t>Для корпораций и финансовых институтов. Центральный контрагент – Банк «Национальный Клиринговый Центр» (Акционерное общество).</w:t>
      </w:r>
    </w:p>
  </w:footnote>
  <w:footnote w:id="2">
    <w:p w:rsidR="00641431" w:rsidRPr="00641431" w:rsidRDefault="00641431" w:rsidP="00641431">
      <w:pPr>
        <w:pStyle w:val="ad"/>
        <w:rPr>
          <w:sz w:val="16"/>
          <w:szCs w:val="16"/>
        </w:rPr>
      </w:pPr>
      <w:r w:rsidRPr="00641431">
        <w:rPr>
          <w:rStyle w:val="af"/>
          <w:sz w:val="16"/>
          <w:szCs w:val="16"/>
        </w:rPr>
        <w:footnoteRef/>
      </w:r>
      <w:r w:rsidRPr="00641431">
        <w:rPr>
          <w:sz w:val="16"/>
          <w:szCs w:val="16"/>
        </w:rPr>
        <w:t xml:space="preserve"> Выбор данного вида сделок автоматически подразумевает выбор Инвестором Торговой системы </w:t>
      </w:r>
      <w:r w:rsidRPr="00641431">
        <w:rPr>
          <w:sz w:val="16"/>
          <w:szCs w:val="16"/>
          <w:lang w:val="en-US"/>
        </w:rPr>
        <w:t>FORTS</w:t>
      </w:r>
    </w:p>
  </w:footnote>
  <w:footnote w:id="3">
    <w:p w:rsidR="00641431" w:rsidRPr="00641431" w:rsidRDefault="00641431" w:rsidP="00641431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641431">
        <w:rPr>
          <w:rStyle w:val="af"/>
          <w:sz w:val="16"/>
          <w:szCs w:val="16"/>
        </w:rPr>
        <w:footnoteRef/>
      </w:r>
      <w:r w:rsidRPr="00641431">
        <w:rPr>
          <w:sz w:val="16"/>
          <w:szCs w:val="16"/>
        </w:rPr>
        <w:t xml:space="preserve"> </w:t>
      </w:r>
      <w:r w:rsidRPr="00641431">
        <w:rPr>
          <w:rFonts w:cs="Arial"/>
          <w:bCs/>
          <w:sz w:val="16"/>
          <w:szCs w:val="16"/>
        </w:rPr>
        <w:t xml:space="preserve">Заявки на совершение Сделок с Финансовыми инструментами для квалифицированных инвесторов имеют право подавать: </w:t>
      </w:r>
    </w:p>
    <w:p w:rsidR="00641431" w:rsidRPr="00641431" w:rsidRDefault="00641431" w:rsidP="00641431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- </w:t>
      </w:r>
      <w:r w:rsidRPr="00641431">
        <w:rPr>
          <w:rFonts w:cs="Arial"/>
          <w:bCs/>
          <w:sz w:val="16"/>
          <w:szCs w:val="16"/>
        </w:rPr>
        <w:t xml:space="preserve">Инвесторы, являющиеся квалифицированными инвесторами на основании Федерального закона от 22.04.1996 №39-ФЗ «О рынке ценных бумаг»; </w:t>
      </w:r>
    </w:p>
    <w:p w:rsidR="00641431" w:rsidRPr="00641431" w:rsidRDefault="00641431" w:rsidP="00641431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-</w:t>
      </w:r>
      <w:r w:rsidRPr="00641431">
        <w:rPr>
          <w:rFonts w:cs="Arial"/>
          <w:bCs/>
          <w:sz w:val="16"/>
          <w:szCs w:val="16"/>
        </w:rPr>
        <w:t xml:space="preserve"> Инвесторы, признанные квалифицированными инвесторами Банком в порядке, установленном нормативными правовыми актами Российской Федерации и Регламентом признания лиц квалифицированными инвесторами;</w:t>
      </w:r>
    </w:p>
    <w:p w:rsidR="00641431" w:rsidRPr="00641431" w:rsidRDefault="00641431" w:rsidP="00641431">
      <w:pPr>
        <w:pStyle w:val="ad"/>
        <w:rPr>
          <w:sz w:val="16"/>
          <w:szCs w:val="16"/>
        </w:rPr>
      </w:pPr>
      <w:r>
        <w:rPr>
          <w:rFonts w:cs="Arial"/>
          <w:bCs/>
          <w:sz w:val="16"/>
          <w:szCs w:val="16"/>
        </w:rPr>
        <w:t>-</w:t>
      </w:r>
      <w:r w:rsidRPr="00641431">
        <w:rPr>
          <w:rFonts w:cs="Arial"/>
          <w:bCs/>
          <w:sz w:val="16"/>
          <w:szCs w:val="16"/>
        </w:rPr>
        <w:t xml:space="preserve"> </w:t>
      </w:r>
      <w:r w:rsidRPr="00641431">
        <w:rPr>
          <w:rFonts w:cs="Arial"/>
          <w:sz w:val="16"/>
          <w:szCs w:val="16"/>
        </w:rPr>
        <w:t xml:space="preserve">Инвесторы, которые приобрели Ценные бумаги в результате универсального правопреемства, конвертации, в том числе при реорганизации, распределения имущества ликвидируемого юридического лица, а также в иных случаях, установленных </w:t>
      </w:r>
      <w:r w:rsidRPr="00641431">
        <w:rPr>
          <w:rFonts w:cs="Arial"/>
          <w:bCs/>
          <w:sz w:val="16"/>
          <w:szCs w:val="16"/>
        </w:rPr>
        <w:t>пунктами 3 и 4 статьи 27.6. Федерального закона от 22.04.1996 № 39-ФЗ «О рынке ценных бумаг».</w:t>
      </w:r>
    </w:p>
  </w:footnote>
  <w:footnote w:id="4">
    <w:p w:rsidR="001468A2" w:rsidRDefault="001468A2" w:rsidP="006E0F56">
      <w:pPr>
        <w:pStyle w:val="ad"/>
      </w:pPr>
      <w:r>
        <w:rPr>
          <w:rStyle w:val="af"/>
        </w:rPr>
        <w:footnoteRef/>
      </w:r>
      <w:r>
        <w:t xml:space="preserve"> </w:t>
      </w:r>
      <w:r w:rsidRPr="00284939">
        <w:rPr>
          <w:rFonts w:cs="Arial"/>
          <w:sz w:val="16"/>
          <w:szCs w:val="16"/>
        </w:rPr>
        <w:t>Под третьими лицами понимаются лица, заключившие с Банком договор, обеспечивающий соблюдение требований Федерального закона от 27.07.2006 № 152-ФЗ «О персональных данных».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17" w:rsidRDefault="00D61017">
    <w:pPr>
      <w:pStyle w:val="a3"/>
    </w:pPr>
    <w:r>
      <w:rPr>
        <w:noProof/>
        <w:lang w:eastAsia="ru-RU"/>
      </w:rPr>
      <w:drawing>
        <wp:inline distT="0" distB="0" distL="0" distR="0" wp14:anchorId="35402413" wp14:editId="78B4BB0D">
          <wp:extent cx="1990725" cy="3810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435B"/>
    <w:multiLevelType w:val="hybridMultilevel"/>
    <w:tmpl w:val="DAF0A6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E92044"/>
    <w:multiLevelType w:val="hybridMultilevel"/>
    <w:tmpl w:val="1BA8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00"/>
    <w:rsid w:val="0004361E"/>
    <w:rsid w:val="00046D70"/>
    <w:rsid w:val="00052CEC"/>
    <w:rsid w:val="00077983"/>
    <w:rsid w:val="000849DC"/>
    <w:rsid w:val="00090D8C"/>
    <w:rsid w:val="00093DB5"/>
    <w:rsid w:val="000C671F"/>
    <w:rsid w:val="000D5DB4"/>
    <w:rsid w:val="000D74D3"/>
    <w:rsid w:val="001220EF"/>
    <w:rsid w:val="00134DE8"/>
    <w:rsid w:val="001421B0"/>
    <w:rsid w:val="001468A2"/>
    <w:rsid w:val="0015532A"/>
    <w:rsid w:val="00161A08"/>
    <w:rsid w:val="00191A12"/>
    <w:rsid w:val="001A3A25"/>
    <w:rsid w:val="001B0921"/>
    <w:rsid w:val="001C6A4F"/>
    <w:rsid w:val="001F3537"/>
    <w:rsid w:val="00212E28"/>
    <w:rsid w:val="0026166C"/>
    <w:rsid w:val="0026617E"/>
    <w:rsid w:val="00274EE6"/>
    <w:rsid w:val="00281D33"/>
    <w:rsid w:val="0028471A"/>
    <w:rsid w:val="00286F63"/>
    <w:rsid w:val="002B0B9F"/>
    <w:rsid w:val="002E42A9"/>
    <w:rsid w:val="002E4B1E"/>
    <w:rsid w:val="002F1A26"/>
    <w:rsid w:val="002F6FD5"/>
    <w:rsid w:val="002F747D"/>
    <w:rsid w:val="00302A67"/>
    <w:rsid w:val="0031236D"/>
    <w:rsid w:val="003207A1"/>
    <w:rsid w:val="003321F1"/>
    <w:rsid w:val="00332DEA"/>
    <w:rsid w:val="00343F39"/>
    <w:rsid w:val="00371DC7"/>
    <w:rsid w:val="00372264"/>
    <w:rsid w:val="00384328"/>
    <w:rsid w:val="00384706"/>
    <w:rsid w:val="0039784E"/>
    <w:rsid w:val="003A6476"/>
    <w:rsid w:val="003A6C1B"/>
    <w:rsid w:val="003B6094"/>
    <w:rsid w:val="003C1E82"/>
    <w:rsid w:val="003E0A78"/>
    <w:rsid w:val="003E109A"/>
    <w:rsid w:val="003F3AAB"/>
    <w:rsid w:val="0041118A"/>
    <w:rsid w:val="00423774"/>
    <w:rsid w:val="004417DD"/>
    <w:rsid w:val="0051130A"/>
    <w:rsid w:val="00536443"/>
    <w:rsid w:val="00572C55"/>
    <w:rsid w:val="00593BA6"/>
    <w:rsid w:val="00594413"/>
    <w:rsid w:val="005D1EC0"/>
    <w:rsid w:val="005D5986"/>
    <w:rsid w:val="00613E65"/>
    <w:rsid w:val="00623239"/>
    <w:rsid w:val="00623D14"/>
    <w:rsid w:val="0063677D"/>
    <w:rsid w:val="0064047B"/>
    <w:rsid w:val="00641431"/>
    <w:rsid w:val="00662A5F"/>
    <w:rsid w:val="00670DB1"/>
    <w:rsid w:val="00684731"/>
    <w:rsid w:val="006A58AF"/>
    <w:rsid w:val="006C4D55"/>
    <w:rsid w:val="006E0F56"/>
    <w:rsid w:val="006F3378"/>
    <w:rsid w:val="006F58DF"/>
    <w:rsid w:val="0074791E"/>
    <w:rsid w:val="00766BE2"/>
    <w:rsid w:val="007C42AD"/>
    <w:rsid w:val="007E1B53"/>
    <w:rsid w:val="007E5797"/>
    <w:rsid w:val="007F0DB3"/>
    <w:rsid w:val="007F1B31"/>
    <w:rsid w:val="00803104"/>
    <w:rsid w:val="008304FE"/>
    <w:rsid w:val="00845063"/>
    <w:rsid w:val="00850900"/>
    <w:rsid w:val="00850BE2"/>
    <w:rsid w:val="0086712A"/>
    <w:rsid w:val="0087026B"/>
    <w:rsid w:val="00874E02"/>
    <w:rsid w:val="008B4361"/>
    <w:rsid w:val="00916997"/>
    <w:rsid w:val="00933F9F"/>
    <w:rsid w:val="009365C1"/>
    <w:rsid w:val="00952F81"/>
    <w:rsid w:val="00956F64"/>
    <w:rsid w:val="00974B74"/>
    <w:rsid w:val="0098001F"/>
    <w:rsid w:val="009807BE"/>
    <w:rsid w:val="009A4D18"/>
    <w:rsid w:val="009A7062"/>
    <w:rsid w:val="009F3A30"/>
    <w:rsid w:val="00A06939"/>
    <w:rsid w:val="00A13103"/>
    <w:rsid w:val="00A17D00"/>
    <w:rsid w:val="00A258D5"/>
    <w:rsid w:val="00A30427"/>
    <w:rsid w:val="00A34AA4"/>
    <w:rsid w:val="00A45861"/>
    <w:rsid w:val="00A617DF"/>
    <w:rsid w:val="00AC6925"/>
    <w:rsid w:val="00AF1300"/>
    <w:rsid w:val="00B04E94"/>
    <w:rsid w:val="00B25D56"/>
    <w:rsid w:val="00B264C8"/>
    <w:rsid w:val="00B7399D"/>
    <w:rsid w:val="00BB2870"/>
    <w:rsid w:val="00BE2591"/>
    <w:rsid w:val="00C000AD"/>
    <w:rsid w:val="00C04C12"/>
    <w:rsid w:val="00C1160C"/>
    <w:rsid w:val="00C11912"/>
    <w:rsid w:val="00C168EA"/>
    <w:rsid w:val="00C45DB1"/>
    <w:rsid w:val="00C5086A"/>
    <w:rsid w:val="00CC430E"/>
    <w:rsid w:val="00CD2BAB"/>
    <w:rsid w:val="00D32BE3"/>
    <w:rsid w:val="00D357F9"/>
    <w:rsid w:val="00D412E9"/>
    <w:rsid w:val="00D61017"/>
    <w:rsid w:val="00D77A31"/>
    <w:rsid w:val="00DC0A4D"/>
    <w:rsid w:val="00DE1CA2"/>
    <w:rsid w:val="00DE3E74"/>
    <w:rsid w:val="00DE65AC"/>
    <w:rsid w:val="00DE6F8D"/>
    <w:rsid w:val="00E151B2"/>
    <w:rsid w:val="00E16FA7"/>
    <w:rsid w:val="00E34ABE"/>
    <w:rsid w:val="00E922E7"/>
    <w:rsid w:val="00EA76A9"/>
    <w:rsid w:val="00EB3115"/>
    <w:rsid w:val="00EB546A"/>
    <w:rsid w:val="00EF6647"/>
    <w:rsid w:val="00FA6754"/>
    <w:rsid w:val="00FB37EA"/>
    <w:rsid w:val="00FE6A2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uiPriority="11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103"/>
    <w:pPr>
      <w:jc w:val="both"/>
    </w:pPr>
    <w:rPr>
      <w:rFonts w:ascii="Arial" w:hAnsi="Arial"/>
      <w:sz w:val="22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3677D"/>
    <w:pPr>
      <w:keepNext/>
      <w:numPr>
        <w:ilvl w:val="12"/>
      </w:numPr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310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43F3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22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20EF"/>
    <w:rPr>
      <w:rFonts w:ascii="Arial" w:hAnsi="Arial"/>
      <w:sz w:val="22"/>
      <w:szCs w:val="24"/>
      <w:lang w:eastAsia="en-US"/>
    </w:rPr>
  </w:style>
  <w:style w:type="character" w:customStyle="1" w:styleId="a4">
    <w:name w:val="Верхний колонтитул Знак"/>
    <w:link w:val="a3"/>
    <w:uiPriority w:val="99"/>
    <w:rsid w:val="001220EF"/>
    <w:rPr>
      <w:rFonts w:ascii="Arial" w:hAnsi="Arial"/>
      <w:sz w:val="22"/>
      <w:szCs w:val="24"/>
      <w:lang w:eastAsia="en-US"/>
    </w:rPr>
  </w:style>
  <w:style w:type="character" w:styleId="a8">
    <w:name w:val="annotation reference"/>
    <w:basedOn w:val="a0"/>
    <w:uiPriority w:val="99"/>
    <w:rsid w:val="00384328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3843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84328"/>
    <w:rPr>
      <w:rFonts w:ascii="Arial" w:hAnsi="Arial"/>
      <w:lang w:eastAsia="en-US"/>
    </w:rPr>
  </w:style>
  <w:style w:type="paragraph" w:styleId="ab">
    <w:name w:val="annotation subject"/>
    <w:basedOn w:val="a9"/>
    <w:next w:val="a9"/>
    <w:link w:val="ac"/>
    <w:rsid w:val="00384328"/>
    <w:rPr>
      <w:b/>
      <w:bCs/>
    </w:rPr>
  </w:style>
  <w:style w:type="character" w:customStyle="1" w:styleId="ac">
    <w:name w:val="Тема примечания Знак"/>
    <w:basedOn w:val="aa"/>
    <w:link w:val="ab"/>
    <w:rsid w:val="00384328"/>
    <w:rPr>
      <w:rFonts w:ascii="Arial" w:hAnsi="Arial"/>
      <w:b/>
      <w:bCs/>
      <w:lang w:eastAsia="en-US"/>
    </w:rPr>
  </w:style>
  <w:style w:type="paragraph" w:styleId="ad">
    <w:name w:val="footnote text"/>
    <w:basedOn w:val="a"/>
    <w:link w:val="ae"/>
    <w:uiPriority w:val="99"/>
    <w:rsid w:val="00E922E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E922E7"/>
    <w:rPr>
      <w:rFonts w:ascii="Arial" w:hAnsi="Arial"/>
      <w:lang w:eastAsia="en-US"/>
    </w:rPr>
  </w:style>
  <w:style w:type="character" w:styleId="af">
    <w:name w:val="footnote reference"/>
    <w:basedOn w:val="a0"/>
    <w:uiPriority w:val="99"/>
    <w:rsid w:val="00E922E7"/>
    <w:rPr>
      <w:vertAlign w:val="superscript"/>
    </w:rPr>
  </w:style>
  <w:style w:type="paragraph" w:customStyle="1" w:styleId="Default">
    <w:name w:val="Default"/>
    <w:rsid w:val="00BE259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af0">
    <w:name w:val="Table Grid"/>
    <w:basedOn w:val="a1"/>
    <w:rsid w:val="00BE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45861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31236D"/>
    <w:rPr>
      <w:rFonts w:cs="Arial"/>
      <w:i/>
      <w:iC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1236D"/>
    <w:rPr>
      <w:rFonts w:ascii="Arial" w:hAnsi="Arial" w:cs="Arial"/>
      <w:i/>
      <w:iCs/>
    </w:rPr>
  </w:style>
  <w:style w:type="paragraph" w:styleId="af2">
    <w:name w:val="Subtitle"/>
    <w:basedOn w:val="a"/>
    <w:next w:val="a"/>
    <w:link w:val="af3"/>
    <w:uiPriority w:val="11"/>
    <w:qFormat/>
    <w:rsid w:val="00641431"/>
    <w:pPr>
      <w:numPr>
        <w:ilvl w:val="1"/>
      </w:numPr>
      <w:spacing w:after="200" w:line="276" w:lineRule="auto"/>
      <w:jc w:val="left"/>
    </w:pPr>
    <w:rPr>
      <w:rFonts w:eastAsiaTheme="majorEastAsia" w:cstheme="majorBidi"/>
      <w:i/>
      <w:iCs/>
      <w:color w:val="4F81BD" w:themeColor="accent1"/>
      <w:spacing w:val="15"/>
      <w:sz w:val="20"/>
    </w:rPr>
  </w:style>
  <w:style w:type="character" w:customStyle="1" w:styleId="af3">
    <w:name w:val="Подзаголовок Знак"/>
    <w:basedOn w:val="a0"/>
    <w:link w:val="af2"/>
    <w:uiPriority w:val="11"/>
    <w:rsid w:val="00641431"/>
    <w:rPr>
      <w:rFonts w:ascii="Arial" w:eastAsiaTheme="majorEastAsia" w:hAnsi="Arial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63677D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uiPriority="11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103"/>
    <w:pPr>
      <w:jc w:val="both"/>
    </w:pPr>
    <w:rPr>
      <w:rFonts w:ascii="Arial" w:hAnsi="Arial"/>
      <w:sz w:val="22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3677D"/>
    <w:pPr>
      <w:keepNext/>
      <w:numPr>
        <w:ilvl w:val="12"/>
      </w:numPr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310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43F3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22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20EF"/>
    <w:rPr>
      <w:rFonts w:ascii="Arial" w:hAnsi="Arial"/>
      <w:sz w:val="22"/>
      <w:szCs w:val="24"/>
      <w:lang w:eastAsia="en-US"/>
    </w:rPr>
  </w:style>
  <w:style w:type="character" w:customStyle="1" w:styleId="a4">
    <w:name w:val="Верхний колонтитул Знак"/>
    <w:link w:val="a3"/>
    <w:uiPriority w:val="99"/>
    <w:rsid w:val="001220EF"/>
    <w:rPr>
      <w:rFonts w:ascii="Arial" w:hAnsi="Arial"/>
      <w:sz w:val="22"/>
      <w:szCs w:val="24"/>
      <w:lang w:eastAsia="en-US"/>
    </w:rPr>
  </w:style>
  <w:style w:type="character" w:styleId="a8">
    <w:name w:val="annotation reference"/>
    <w:basedOn w:val="a0"/>
    <w:uiPriority w:val="99"/>
    <w:rsid w:val="00384328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3843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84328"/>
    <w:rPr>
      <w:rFonts w:ascii="Arial" w:hAnsi="Arial"/>
      <w:lang w:eastAsia="en-US"/>
    </w:rPr>
  </w:style>
  <w:style w:type="paragraph" w:styleId="ab">
    <w:name w:val="annotation subject"/>
    <w:basedOn w:val="a9"/>
    <w:next w:val="a9"/>
    <w:link w:val="ac"/>
    <w:rsid w:val="00384328"/>
    <w:rPr>
      <w:b/>
      <w:bCs/>
    </w:rPr>
  </w:style>
  <w:style w:type="character" w:customStyle="1" w:styleId="ac">
    <w:name w:val="Тема примечания Знак"/>
    <w:basedOn w:val="aa"/>
    <w:link w:val="ab"/>
    <w:rsid w:val="00384328"/>
    <w:rPr>
      <w:rFonts w:ascii="Arial" w:hAnsi="Arial"/>
      <w:b/>
      <w:bCs/>
      <w:lang w:eastAsia="en-US"/>
    </w:rPr>
  </w:style>
  <w:style w:type="paragraph" w:styleId="ad">
    <w:name w:val="footnote text"/>
    <w:basedOn w:val="a"/>
    <w:link w:val="ae"/>
    <w:uiPriority w:val="99"/>
    <w:rsid w:val="00E922E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E922E7"/>
    <w:rPr>
      <w:rFonts w:ascii="Arial" w:hAnsi="Arial"/>
      <w:lang w:eastAsia="en-US"/>
    </w:rPr>
  </w:style>
  <w:style w:type="character" w:styleId="af">
    <w:name w:val="footnote reference"/>
    <w:basedOn w:val="a0"/>
    <w:uiPriority w:val="99"/>
    <w:rsid w:val="00E922E7"/>
    <w:rPr>
      <w:vertAlign w:val="superscript"/>
    </w:rPr>
  </w:style>
  <w:style w:type="paragraph" w:customStyle="1" w:styleId="Default">
    <w:name w:val="Default"/>
    <w:rsid w:val="00BE259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af0">
    <w:name w:val="Table Grid"/>
    <w:basedOn w:val="a1"/>
    <w:rsid w:val="00BE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45861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31236D"/>
    <w:rPr>
      <w:rFonts w:cs="Arial"/>
      <w:i/>
      <w:iC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1236D"/>
    <w:rPr>
      <w:rFonts w:ascii="Arial" w:hAnsi="Arial" w:cs="Arial"/>
      <w:i/>
      <w:iCs/>
    </w:rPr>
  </w:style>
  <w:style w:type="paragraph" w:styleId="af2">
    <w:name w:val="Subtitle"/>
    <w:basedOn w:val="a"/>
    <w:next w:val="a"/>
    <w:link w:val="af3"/>
    <w:uiPriority w:val="11"/>
    <w:qFormat/>
    <w:rsid w:val="00641431"/>
    <w:pPr>
      <w:numPr>
        <w:ilvl w:val="1"/>
      </w:numPr>
      <w:spacing w:after="200" w:line="276" w:lineRule="auto"/>
      <w:jc w:val="left"/>
    </w:pPr>
    <w:rPr>
      <w:rFonts w:eastAsiaTheme="majorEastAsia" w:cstheme="majorBidi"/>
      <w:i/>
      <w:iCs/>
      <w:color w:val="4F81BD" w:themeColor="accent1"/>
      <w:spacing w:val="15"/>
      <w:sz w:val="20"/>
    </w:rPr>
  </w:style>
  <w:style w:type="character" w:customStyle="1" w:styleId="af3">
    <w:name w:val="Подзаголовок Знак"/>
    <w:basedOn w:val="a0"/>
    <w:link w:val="af2"/>
    <w:uiPriority w:val="11"/>
    <w:rsid w:val="00641431"/>
    <w:rPr>
      <w:rFonts w:ascii="Arial" w:eastAsiaTheme="majorEastAsia" w:hAnsi="Arial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63677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A0MzUxPC9Vc2VyTmFtZT48RGF0ZVRpbWU+MDMuMDkuMjAxOCAxMjo0MjowMjwvRGF0ZVRpbWU+PExhYmVsU3RyaW5nPkMwIHwgJiN4NDFFOyYjeDQzMTsmI3g0NDk7JiN4NDM1OyYjeDQzNDsmI3g0M0U7JiN4NDQxOyYjeDQ0MjsmI3g0NDM7JiN4NDNGOyYjeDQzRDsmI3g0MzA7JiN4NDRGOyAmI3g0Mzg7JiN4NDNEOyYjeDQ0NDsmI3g0M0U7JiN4NDQwOyYjeDQzQzsmI3g0MzA7JiN4NDQ2OyYjeDQzODsmI3g0NEY7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04E8-D861-4F86-8A2F-8C8761C541B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2964449D-AB94-4AA2-8115-BCFC50C328E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7305A27-622E-4B05-A535-3ECC88DB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4290</Characters>
  <Application>Microsoft Office Word</Application>
  <DocSecurity>0</DocSecurity>
  <Lines>143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10</vt:lpstr>
      <vt:lpstr>Приложение № 10</vt:lpstr>
    </vt:vector>
  </TitlesOfParts>
  <Company>Bank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Enukov_DO</dc:creator>
  <dc:description>C0 - Public |j,llsaj12398**C0)knasdals|</dc:description>
  <cp:lastModifiedBy>Андреев Алексей Игоревич</cp:lastModifiedBy>
  <cp:revision>2</cp:revision>
  <cp:lastPrinted>2013-03-01T11:17:00Z</cp:lastPrinted>
  <dcterms:created xsi:type="dcterms:W3CDTF">2019-05-21T07:10:00Z</dcterms:created>
  <dcterms:modified xsi:type="dcterms:W3CDTF">2019-05-21T07:10:00Z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e81cdafe-008a-43f8-b918-0afb6c63a0fb</vt:lpwstr>
  </property>
  <property fmtid="{D5CDD505-2E9C-101B-9397-08002B2CF9AE}" pid="3" name="bjSaver">
    <vt:lpwstr>YDsV6I3Gx0CULCKbbY9HKnpANS9J1aM2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{1E4D04E8-D861-4F86-8A2F-8C8761C541BD}</vt:lpwstr>
  </property>
</Properties>
</file>