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6564" w14:textId="5D716746" w:rsidR="00824A03" w:rsidRDefault="00824A03" w:rsidP="005B2E37">
      <w:pPr>
        <w:spacing w:after="0" w:line="240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Приложение </w:t>
      </w:r>
      <w:r w:rsidR="00BF47E9">
        <w:rPr>
          <w:rFonts w:ascii="Source Sans Pro" w:hAnsi="Source Sans Pro"/>
        </w:rPr>
        <w:t xml:space="preserve">№ </w:t>
      </w:r>
      <w:r>
        <w:rPr>
          <w:rFonts w:ascii="Source Sans Pro" w:hAnsi="Source Sans Pro"/>
        </w:rPr>
        <w:t>1</w:t>
      </w:r>
    </w:p>
    <w:p w14:paraId="733F8584" w14:textId="77777777" w:rsidR="00824A03" w:rsidRPr="005B2E37" w:rsidRDefault="00824A03" w:rsidP="005B2E37">
      <w:pPr>
        <w:spacing w:after="0" w:line="240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к Регламенту брокерского обслуживания ПАО РОСБАНК</w:t>
      </w:r>
    </w:p>
    <w:p w14:paraId="66F21123" w14:textId="77777777" w:rsidR="002C7F7E" w:rsidRDefault="002C7F7E" w:rsidP="000C2137">
      <w:pPr>
        <w:spacing w:after="120" w:line="240" w:lineRule="auto"/>
        <w:jc w:val="center"/>
        <w:rPr>
          <w:rFonts w:ascii="Source Sans Pro" w:hAnsi="Source Sans Pro"/>
          <w:b/>
        </w:rPr>
      </w:pPr>
    </w:p>
    <w:p w14:paraId="6F88530A" w14:textId="4D993685" w:rsidR="00245014" w:rsidRPr="000C2137" w:rsidRDefault="00B36381" w:rsidP="000C2137">
      <w:pPr>
        <w:spacing w:after="120" w:line="240" w:lineRule="auto"/>
        <w:jc w:val="center"/>
        <w:rPr>
          <w:rFonts w:ascii="Source Sans Pro" w:hAnsi="Source Sans Pro"/>
          <w:b/>
        </w:rPr>
      </w:pPr>
      <w:r w:rsidRPr="000C2137">
        <w:rPr>
          <w:rFonts w:ascii="Source Sans Pro" w:hAnsi="Source Sans Pro"/>
          <w:b/>
        </w:rPr>
        <w:t xml:space="preserve">Порядок </w:t>
      </w:r>
      <w:r w:rsidR="00824A03">
        <w:rPr>
          <w:rFonts w:ascii="Source Sans Pro" w:hAnsi="Source Sans Pro"/>
          <w:b/>
        </w:rPr>
        <w:t xml:space="preserve">принудительного </w:t>
      </w:r>
      <w:r w:rsidRPr="000C2137">
        <w:rPr>
          <w:rFonts w:ascii="Source Sans Pro" w:hAnsi="Source Sans Pro"/>
          <w:b/>
        </w:rPr>
        <w:t xml:space="preserve">закрытия позиций </w:t>
      </w:r>
    </w:p>
    <w:p w14:paraId="5BE692FA" w14:textId="77777777" w:rsidR="00B36381" w:rsidRPr="000C2137" w:rsidRDefault="00B36381" w:rsidP="000C2137">
      <w:pPr>
        <w:spacing w:after="120" w:line="240" w:lineRule="auto"/>
        <w:jc w:val="center"/>
        <w:rPr>
          <w:rFonts w:ascii="Source Sans Pro" w:hAnsi="Source Sans Pro"/>
        </w:rPr>
      </w:pPr>
    </w:p>
    <w:p w14:paraId="37A173D6" w14:textId="53328340" w:rsidR="00B36381" w:rsidRPr="000C2137" w:rsidRDefault="009A5184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Настоящий </w:t>
      </w:r>
      <w:r w:rsidR="00827993" w:rsidRPr="000C2137">
        <w:rPr>
          <w:rFonts w:ascii="Source Sans Pro" w:hAnsi="Source Sans Pro"/>
        </w:rPr>
        <w:t xml:space="preserve">Порядок </w:t>
      </w:r>
      <w:r w:rsidR="00824A03">
        <w:rPr>
          <w:rFonts w:ascii="Source Sans Pro" w:hAnsi="Source Sans Pro"/>
        </w:rPr>
        <w:t xml:space="preserve">принудительного </w:t>
      </w:r>
      <w:r w:rsidR="00827993" w:rsidRPr="000C2137">
        <w:rPr>
          <w:rFonts w:ascii="Source Sans Pro" w:hAnsi="Source Sans Pro"/>
        </w:rPr>
        <w:t>закрытия позиций (</w:t>
      </w:r>
      <w:r w:rsidR="00824A03">
        <w:rPr>
          <w:rFonts w:ascii="Source Sans Pro" w:hAnsi="Source Sans Pro"/>
        </w:rPr>
        <w:t>«</w:t>
      </w:r>
      <w:r w:rsidR="00827993" w:rsidRPr="000C2137">
        <w:rPr>
          <w:rFonts w:ascii="Source Sans Pro" w:hAnsi="Source Sans Pro"/>
        </w:rPr>
        <w:t>Порядок</w:t>
      </w:r>
      <w:r w:rsidR="00824A03">
        <w:rPr>
          <w:rFonts w:ascii="Source Sans Pro" w:hAnsi="Source Sans Pro"/>
        </w:rPr>
        <w:t>»</w:t>
      </w:r>
      <w:r w:rsidR="00827993" w:rsidRPr="000C2137">
        <w:rPr>
          <w:rFonts w:ascii="Source Sans Pro" w:hAnsi="Source Sans Pro"/>
        </w:rPr>
        <w:t xml:space="preserve">) определяет содержание и последовательность действий ПАО </w:t>
      </w:r>
      <w:r w:rsidR="00824A03">
        <w:rPr>
          <w:rFonts w:ascii="Source Sans Pro" w:hAnsi="Source Sans Pro"/>
        </w:rPr>
        <w:t>РОСБАНК</w:t>
      </w:r>
      <w:r w:rsidR="00824A03" w:rsidRPr="000C2137">
        <w:rPr>
          <w:rFonts w:ascii="Source Sans Pro" w:hAnsi="Source Sans Pro"/>
        </w:rPr>
        <w:t xml:space="preserve"> </w:t>
      </w:r>
      <w:r w:rsidR="00827993" w:rsidRPr="000C2137">
        <w:rPr>
          <w:rFonts w:ascii="Source Sans Pro" w:hAnsi="Source Sans Pro"/>
        </w:rPr>
        <w:t>(</w:t>
      </w:r>
      <w:r w:rsidR="00824A03">
        <w:rPr>
          <w:rFonts w:ascii="Source Sans Pro" w:hAnsi="Source Sans Pro"/>
        </w:rPr>
        <w:t>«</w:t>
      </w:r>
      <w:r w:rsidR="006D7592" w:rsidRPr="000C2137">
        <w:rPr>
          <w:rFonts w:ascii="Source Sans Pro" w:hAnsi="Source Sans Pro"/>
        </w:rPr>
        <w:t>Банк</w:t>
      </w:r>
      <w:r w:rsidR="00824A03">
        <w:rPr>
          <w:rFonts w:ascii="Source Sans Pro" w:hAnsi="Source Sans Pro"/>
        </w:rPr>
        <w:t>»</w:t>
      </w:r>
      <w:r w:rsidR="006D7592" w:rsidRPr="000C2137">
        <w:rPr>
          <w:rFonts w:ascii="Source Sans Pro" w:hAnsi="Source Sans Pro"/>
        </w:rPr>
        <w:t>), направленных на п</w:t>
      </w:r>
      <w:r w:rsidR="00827993" w:rsidRPr="000C2137">
        <w:rPr>
          <w:rFonts w:ascii="Source Sans Pro" w:hAnsi="Source Sans Pro"/>
        </w:rPr>
        <w:t xml:space="preserve">ринудительное закрытие </w:t>
      </w:r>
      <w:r w:rsidR="00824A03">
        <w:rPr>
          <w:rFonts w:ascii="Source Sans Pro" w:hAnsi="Source Sans Pro"/>
        </w:rPr>
        <w:t>Н</w:t>
      </w:r>
      <w:r w:rsidR="006A55C2" w:rsidRPr="000C2137">
        <w:rPr>
          <w:rFonts w:ascii="Source Sans Pro" w:hAnsi="Source Sans Pro"/>
        </w:rPr>
        <w:t>епокрытых</w:t>
      </w:r>
      <w:r w:rsidR="006A55C2" w:rsidRPr="000C2137">
        <w:rPr>
          <w:rFonts w:ascii="Source Sans Pro" w:hAnsi="Source Sans Pro"/>
          <w:i/>
        </w:rPr>
        <w:t xml:space="preserve"> </w:t>
      </w:r>
      <w:r w:rsidR="00827993" w:rsidRPr="000C2137">
        <w:rPr>
          <w:rFonts w:ascii="Source Sans Pro" w:hAnsi="Source Sans Pro"/>
        </w:rPr>
        <w:t>позиций Инвесторов со стандартным</w:t>
      </w:r>
      <w:r w:rsidR="00033A95" w:rsidRPr="000C2137">
        <w:rPr>
          <w:rFonts w:ascii="Source Sans Pro" w:hAnsi="Source Sans Pro"/>
        </w:rPr>
        <w:t>,</w:t>
      </w:r>
      <w:r w:rsidR="00827993" w:rsidRPr="000C2137">
        <w:rPr>
          <w:rFonts w:ascii="Source Sans Pro" w:hAnsi="Source Sans Pro"/>
        </w:rPr>
        <w:t xml:space="preserve"> повышенным </w:t>
      </w:r>
      <w:r w:rsidR="00033A95" w:rsidRPr="000C2137">
        <w:rPr>
          <w:rFonts w:ascii="Source Sans Pro" w:hAnsi="Source Sans Pro"/>
        </w:rPr>
        <w:t xml:space="preserve">и особым </w:t>
      </w:r>
      <w:r w:rsidR="00827993" w:rsidRPr="000C2137">
        <w:rPr>
          <w:rFonts w:ascii="Source Sans Pro" w:hAnsi="Source Sans Pro"/>
        </w:rPr>
        <w:t>уровнем риска</w:t>
      </w:r>
      <w:r w:rsidR="00DB0B9C" w:rsidRPr="000C2137">
        <w:rPr>
          <w:rFonts w:ascii="Source Sans Pro" w:hAnsi="Source Sans Pro"/>
        </w:rPr>
        <w:t xml:space="preserve">. </w:t>
      </w:r>
    </w:p>
    <w:p w14:paraId="47E5AB9D" w14:textId="53E20FF5" w:rsidR="006A55C2" w:rsidRPr="000C2137" w:rsidRDefault="00BE3A14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Порядок разработан в соответствии с требованиями законодательства</w:t>
      </w:r>
      <w:r w:rsidR="00D93FAB" w:rsidRPr="000C2137">
        <w:rPr>
          <w:rFonts w:ascii="Source Sans Pro" w:hAnsi="Source Sans Pro"/>
        </w:rPr>
        <w:t xml:space="preserve"> </w:t>
      </w:r>
      <w:r w:rsidRPr="000C2137">
        <w:rPr>
          <w:rFonts w:ascii="Source Sans Pro" w:hAnsi="Source Sans Pro"/>
        </w:rPr>
        <w:t>Российской Федерации, нормативных актов Банка России и Регламентом</w:t>
      </w:r>
      <w:r w:rsidR="00D93FAB" w:rsidRPr="000C2137">
        <w:rPr>
          <w:rFonts w:ascii="Source Sans Pro" w:hAnsi="Source Sans Pro"/>
        </w:rPr>
        <w:t xml:space="preserve"> брокерского обслуживания ПАО РОСБАНК</w:t>
      </w:r>
      <w:r w:rsidR="001805DA" w:rsidRPr="000C2137">
        <w:rPr>
          <w:rFonts w:ascii="Source Sans Pro" w:hAnsi="Source Sans Pro"/>
        </w:rPr>
        <w:t xml:space="preserve"> (</w:t>
      </w:r>
      <w:r w:rsidR="00824A03">
        <w:rPr>
          <w:rFonts w:ascii="Source Sans Pro" w:hAnsi="Source Sans Pro"/>
        </w:rPr>
        <w:t>«</w:t>
      </w:r>
      <w:r w:rsidR="001805DA" w:rsidRPr="000C2137">
        <w:rPr>
          <w:rFonts w:ascii="Source Sans Pro" w:hAnsi="Source Sans Pro"/>
        </w:rPr>
        <w:t>Регламент</w:t>
      </w:r>
      <w:r w:rsidR="00824A03">
        <w:rPr>
          <w:rFonts w:ascii="Source Sans Pro" w:hAnsi="Source Sans Pro"/>
        </w:rPr>
        <w:t>»</w:t>
      </w:r>
      <w:r w:rsidR="001805DA" w:rsidRPr="000C2137">
        <w:rPr>
          <w:rFonts w:ascii="Source Sans Pro" w:hAnsi="Source Sans Pro"/>
        </w:rPr>
        <w:t>).</w:t>
      </w:r>
    </w:p>
    <w:p w14:paraId="50F57BD4" w14:textId="0C21C77A" w:rsidR="001805DA" w:rsidRPr="000C2137" w:rsidRDefault="001805DA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Все термины, используемые в тексте Порядка</w:t>
      </w:r>
      <w:r w:rsidR="00824A03">
        <w:rPr>
          <w:rFonts w:ascii="Source Sans Pro" w:hAnsi="Source Sans Pro"/>
        </w:rPr>
        <w:t xml:space="preserve"> с большой буквы</w:t>
      </w:r>
      <w:r w:rsidRPr="000C2137">
        <w:rPr>
          <w:rFonts w:ascii="Source Sans Pro" w:hAnsi="Source Sans Pro"/>
        </w:rPr>
        <w:t xml:space="preserve">, имеют </w:t>
      </w:r>
      <w:r w:rsidR="00824A03">
        <w:rPr>
          <w:rFonts w:ascii="Source Sans Pro" w:hAnsi="Source Sans Pro"/>
        </w:rPr>
        <w:t xml:space="preserve">те же </w:t>
      </w:r>
      <w:r w:rsidRPr="000C2137">
        <w:rPr>
          <w:rFonts w:ascii="Source Sans Pro" w:hAnsi="Source Sans Pro"/>
        </w:rPr>
        <w:t>значени</w:t>
      </w:r>
      <w:r w:rsidR="00824A03">
        <w:rPr>
          <w:rFonts w:ascii="Source Sans Pro" w:hAnsi="Source Sans Pro"/>
        </w:rPr>
        <w:t>я</w:t>
      </w:r>
      <w:r w:rsidRPr="000C2137">
        <w:rPr>
          <w:rFonts w:ascii="Source Sans Pro" w:hAnsi="Source Sans Pro"/>
        </w:rPr>
        <w:t xml:space="preserve">, </w:t>
      </w:r>
      <w:r w:rsidR="00824A03">
        <w:rPr>
          <w:rFonts w:ascii="Source Sans Pro" w:hAnsi="Source Sans Pro"/>
        </w:rPr>
        <w:t xml:space="preserve">что и </w:t>
      </w:r>
      <w:r w:rsidRPr="000C2137">
        <w:rPr>
          <w:rFonts w:ascii="Source Sans Pro" w:hAnsi="Source Sans Pro"/>
        </w:rPr>
        <w:t xml:space="preserve">в Регламенте, если иное </w:t>
      </w:r>
      <w:r w:rsidR="00824A03">
        <w:rPr>
          <w:rFonts w:ascii="Source Sans Pro" w:hAnsi="Source Sans Pro"/>
        </w:rPr>
        <w:t>не установлено</w:t>
      </w:r>
      <w:r w:rsidRPr="000C2137">
        <w:rPr>
          <w:rFonts w:ascii="Source Sans Pro" w:hAnsi="Source Sans Pro"/>
        </w:rPr>
        <w:t xml:space="preserve"> Порядк</w:t>
      </w:r>
      <w:r w:rsidR="00824A03">
        <w:rPr>
          <w:rFonts w:ascii="Source Sans Pro" w:hAnsi="Source Sans Pro"/>
        </w:rPr>
        <w:t>ом</w:t>
      </w:r>
      <w:r w:rsidRPr="000C2137">
        <w:rPr>
          <w:rFonts w:ascii="Source Sans Pro" w:hAnsi="Source Sans Pro"/>
        </w:rPr>
        <w:t>.</w:t>
      </w:r>
    </w:p>
    <w:p w14:paraId="749C4D07" w14:textId="7FEABD16" w:rsidR="00D02907" w:rsidRPr="000C2137" w:rsidRDefault="00DA08CA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Н</w:t>
      </w:r>
      <w:r w:rsidR="00D02907" w:rsidRPr="000C2137">
        <w:rPr>
          <w:rFonts w:ascii="Source Sans Pro" w:hAnsi="Source Sans Pro"/>
        </w:rPr>
        <w:t>еобходимост</w:t>
      </w:r>
      <w:r w:rsidRPr="000C2137">
        <w:rPr>
          <w:rFonts w:ascii="Source Sans Pro" w:hAnsi="Source Sans Pro"/>
        </w:rPr>
        <w:t>ь</w:t>
      </w:r>
      <w:r w:rsidR="00D02907" w:rsidRPr="000C2137">
        <w:rPr>
          <w:rFonts w:ascii="Source Sans Pro" w:hAnsi="Source Sans Pro"/>
        </w:rPr>
        <w:t xml:space="preserve"> принудительного закрытия </w:t>
      </w:r>
      <w:r w:rsidR="00824A03">
        <w:rPr>
          <w:rFonts w:ascii="Source Sans Pro" w:hAnsi="Source Sans Pro"/>
        </w:rPr>
        <w:t>Н</w:t>
      </w:r>
      <w:r w:rsidRPr="000C2137">
        <w:rPr>
          <w:rFonts w:ascii="Source Sans Pro" w:hAnsi="Source Sans Pro"/>
        </w:rPr>
        <w:t xml:space="preserve">епокрытых </w:t>
      </w:r>
      <w:r w:rsidR="00D02907" w:rsidRPr="000C2137">
        <w:rPr>
          <w:rFonts w:ascii="Source Sans Pro" w:hAnsi="Source Sans Pro"/>
        </w:rPr>
        <w:t xml:space="preserve">позиций </w:t>
      </w:r>
      <w:r w:rsidR="009C25C5" w:rsidRPr="000C2137">
        <w:rPr>
          <w:rFonts w:ascii="Source Sans Pro" w:hAnsi="Source Sans Pro"/>
        </w:rPr>
        <w:t>Инвесторов</w:t>
      </w:r>
      <w:r w:rsidRPr="000C2137">
        <w:rPr>
          <w:rFonts w:ascii="Source Sans Pro" w:hAnsi="Source Sans Pro"/>
        </w:rPr>
        <w:t xml:space="preserve"> </w:t>
      </w:r>
      <w:r w:rsidR="00D02907" w:rsidRPr="000C2137">
        <w:rPr>
          <w:rFonts w:ascii="Source Sans Pro" w:hAnsi="Source Sans Pro"/>
        </w:rPr>
        <w:t xml:space="preserve">Банком может интерпретироваться как сознательный отказ </w:t>
      </w:r>
      <w:r w:rsidR="009C25C5" w:rsidRPr="000C2137">
        <w:rPr>
          <w:rFonts w:ascii="Source Sans Pro" w:hAnsi="Source Sans Pro"/>
        </w:rPr>
        <w:t>Инвестора</w:t>
      </w:r>
      <w:r w:rsidR="00D02907" w:rsidRPr="000C2137">
        <w:rPr>
          <w:rFonts w:ascii="Source Sans Pro" w:hAnsi="Source Sans Pro"/>
        </w:rPr>
        <w:t xml:space="preserve"> от самостоятельного управления рисками по </w:t>
      </w:r>
      <w:r w:rsidR="005163C8">
        <w:rPr>
          <w:rFonts w:ascii="Source Sans Pro" w:hAnsi="Source Sans Pro"/>
        </w:rPr>
        <w:t xml:space="preserve">открытому </w:t>
      </w:r>
      <w:r w:rsidR="005163C8" w:rsidRPr="005B2E37">
        <w:rPr>
          <w:rFonts w:ascii="Source Sans Pro" w:hAnsi="Source Sans Pro"/>
        </w:rPr>
        <w:t>Инвестору</w:t>
      </w:r>
      <w:r w:rsidR="00824A03">
        <w:rPr>
          <w:rFonts w:ascii="Source Sans Pro" w:hAnsi="Source Sans Pro"/>
        </w:rPr>
        <w:t xml:space="preserve"> Банком</w:t>
      </w:r>
      <w:r w:rsidR="00824A03" w:rsidRPr="000C2137">
        <w:rPr>
          <w:rFonts w:ascii="Source Sans Pro" w:hAnsi="Source Sans Pro"/>
        </w:rPr>
        <w:t xml:space="preserve"> </w:t>
      </w:r>
      <w:r w:rsidRPr="000C2137">
        <w:rPr>
          <w:rFonts w:ascii="Source Sans Pro" w:hAnsi="Source Sans Pro"/>
        </w:rPr>
        <w:t xml:space="preserve">Брокерскому </w:t>
      </w:r>
      <w:r w:rsidR="00D02907" w:rsidRPr="000C2137">
        <w:rPr>
          <w:rFonts w:ascii="Source Sans Pro" w:hAnsi="Source Sans Pro"/>
        </w:rPr>
        <w:t xml:space="preserve">счету. </w:t>
      </w:r>
      <w:r w:rsidRPr="000C2137">
        <w:rPr>
          <w:rFonts w:ascii="Source Sans Pro" w:hAnsi="Source Sans Pro"/>
        </w:rPr>
        <w:t xml:space="preserve">При этом </w:t>
      </w:r>
      <w:r w:rsidR="00D02907" w:rsidRPr="000C2137">
        <w:rPr>
          <w:rFonts w:ascii="Source Sans Pro" w:hAnsi="Source Sans Pro"/>
        </w:rPr>
        <w:t xml:space="preserve">во всех случаях принудительного закрытия ответственность за любые убытки возлагается </w:t>
      </w:r>
      <w:r w:rsidR="00511C63" w:rsidRPr="000C2137">
        <w:rPr>
          <w:rFonts w:ascii="Source Sans Pro" w:hAnsi="Source Sans Pro"/>
        </w:rPr>
        <w:t>на Инвестора</w:t>
      </w:r>
      <w:r w:rsidR="00D02907" w:rsidRPr="000C2137">
        <w:rPr>
          <w:rFonts w:ascii="Source Sans Pro" w:hAnsi="Source Sans Pro"/>
        </w:rPr>
        <w:t>.</w:t>
      </w:r>
    </w:p>
    <w:p w14:paraId="2B43FDA8" w14:textId="77777777" w:rsidR="00ED18E8" w:rsidRPr="000C2137" w:rsidRDefault="00ED18E8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Банк назначает должностное лицо</w:t>
      </w:r>
      <w:r w:rsidR="00824A03">
        <w:rPr>
          <w:rFonts w:ascii="Source Sans Pro" w:hAnsi="Source Sans Pro"/>
        </w:rPr>
        <w:t xml:space="preserve"> (ответственного работника)</w:t>
      </w:r>
      <w:r w:rsidRPr="000C2137">
        <w:rPr>
          <w:rFonts w:ascii="Source Sans Pro" w:hAnsi="Source Sans Pro"/>
        </w:rPr>
        <w:t>, ответственное за совершение действий по принудительному закрытию позиций Инвесторов. Ответственный работник</w:t>
      </w:r>
      <w:r w:rsidR="00824A03">
        <w:rPr>
          <w:rFonts w:ascii="Source Sans Pro" w:hAnsi="Source Sans Pro"/>
        </w:rPr>
        <w:t xml:space="preserve"> Банка</w:t>
      </w:r>
      <w:r w:rsidRPr="000C2137">
        <w:rPr>
          <w:rFonts w:ascii="Source Sans Pro" w:hAnsi="Source Sans Pro"/>
        </w:rPr>
        <w:t xml:space="preserve"> осуществляет контроль Непокрытых позиций Инвестора в режиме реального времени с 10:00 до 18:40 с использованием </w:t>
      </w:r>
      <w:r w:rsidRPr="000C2137">
        <w:rPr>
          <w:rFonts w:ascii="Source Sans Pro" w:hAnsi="Source Sans Pro"/>
          <w:lang w:val="en-US"/>
        </w:rPr>
        <w:t>QUIK</w:t>
      </w:r>
      <w:r w:rsidRPr="000C2137">
        <w:rPr>
          <w:rFonts w:ascii="Source Sans Pro" w:hAnsi="Source Sans Pro"/>
        </w:rPr>
        <w:t>.</w:t>
      </w:r>
    </w:p>
    <w:p w14:paraId="6A66D019" w14:textId="77777777" w:rsidR="0042681B" w:rsidRPr="000C2137" w:rsidRDefault="001477FF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В связи с заключением и исполнением Необеспеченных Сделок Банк обязан рассчитывать на каждый день Стоимость Портфеля Инвестора, Размер начальной маржи и Размер минимальной маржи и сообщать указанные величины Инвестору посредством QUIK. Информационное сообщение, рассылаемое Банком посредством QUIK, имеет исключительно информационный характер. Информация о текущей Стоимости портфеля Инвестора и размере Начальной и Минимальной маржи, изложенная в информационном сообщении, действительна только на момент его направления. Банк оставляет за собой право дополнительно использовать любые другие каналы связи с Инвестором. В зависимости от Стоимости Портфеля Инвестора Банк налагает ограничения на совершение Сделок и допустимых операций с Портфелем Инвестора</w:t>
      </w:r>
      <w:r w:rsidR="0042681B" w:rsidRPr="000C2137">
        <w:rPr>
          <w:rFonts w:ascii="Source Sans Pro" w:hAnsi="Source Sans Pro"/>
        </w:rPr>
        <w:t xml:space="preserve">. </w:t>
      </w:r>
    </w:p>
    <w:p w14:paraId="054A4686" w14:textId="77777777" w:rsidR="00E47671" w:rsidRPr="000C2137" w:rsidRDefault="001477FF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Стоимость Портфеля Инвестора, Размер начальной маржи и Размер минимальной маржи рассчитываются исходя из уровня риска, установленного Инвестору в соответствии с Указанием (Инвестор со стандартным уровнем риска, Инвестор с повышенным уровнем риска или Инвестор с особым уровнем риска), и дисконтирующих коэффициентов, установленных Банком в разрезе Приемлемых ЦБ. При этом дисконтирующие коэффициенты рассчитываются на основе наименьших коэффициентов, рассчитанных и публикуемых НКЦ в соответствии с требованиями, установленными российским законодательством.</w:t>
      </w:r>
    </w:p>
    <w:p w14:paraId="0D802453" w14:textId="77777777" w:rsidR="00E47671" w:rsidRPr="000C2137" w:rsidRDefault="00B220D9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При снижении Стоимости Портфеля Инвестора ниже Размера начальной маржи и/или ниже Размера минимальной маржи Банк вправе направить Инвестору по электронной почте, указанной Инвестором в Анкете Инвестора, специальное сообщение о резервировании денежных средств и/или Приемлемых ЦБ в обеспечение исполнения обязательств Инвестора. Банк оставляет за собой право использовать другие каналы связи с Инвестором. Получение поручения на отмену не снимает с Инвестора ответственности за контролирование Стоимости Портфеля Инвестора.</w:t>
      </w:r>
    </w:p>
    <w:p w14:paraId="07FE4CFD" w14:textId="77777777" w:rsidR="00415081" w:rsidRPr="000C2137" w:rsidRDefault="00415081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lastRenderedPageBreak/>
        <w:t>При снижении Стоимости Портфеля Инвестора ниже Размера минимальной маржи Банк имеет право и настоящим уполномочен Инвестором совершить операции, направленные на снижение Размера минимальной маржи. При этом операции совершаются с учетом требований, установленных российским законодательством. Невозможность совершения Банком указанных операций не снимает с Инвестора ответственности за исполнение обязательств Инвестора по заключенным по его поручению Сделкам и открытым позициям. Банк не несет ответственности за любые убытки Инвестора, возникшие вследствие совершения указанных операций.</w:t>
      </w:r>
    </w:p>
    <w:p w14:paraId="41DC284D" w14:textId="19FA1E1B" w:rsidR="00E735B8" w:rsidRPr="000C2137" w:rsidRDefault="0011786D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Банк вправе в любой момент потребовать снижения Размера минимальной маржи и/или увеличения Стоимости Портфеля Инвестора путем предъявления Инвестору соответствующего требования посредством </w:t>
      </w:r>
      <w:r w:rsidRPr="000C2137">
        <w:rPr>
          <w:rFonts w:ascii="Source Sans Pro" w:hAnsi="Source Sans Pro"/>
          <w:lang w:val="en-US"/>
        </w:rPr>
        <w:t>QUIK</w:t>
      </w:r>
      <w:r w:rsidR="002D3864" w:rsidRPr="000C2137">
        <w:rPr>
          <w:rFonts w:ascii="Source Sans Pro" w:hAnsi="Source Sans Pro"/>
        </w:rPr>
        <w:t xml:space="preserve"> и/или других каналов связи</w:t>
      </w:r>
      <w:r w:rsidR="00EA1D05">
        <w:rPr>
          <w:rFonts w:ascii="Source Sans Pro" w:hAnsi="Source Sans Pro"/>
        </w:rPr>
        <w:t>, согласованных</w:t>
      </w:r>
      <w:r w:rsidR="002D3864" w:rsidRPr="000C2137">
        <w:rPr>
          <w:rFonts w:ascii="Source Sans Pro" w:hAnsi="Source Sans Pro"/>
        </w:rPr>
        <w:t xml:space="preserve"> с Инвестором</w:t>
      </w:r>
      <w:r w:rsidR="00EA1D05">
        <w:rPr>
          <w:rFonts w:ascii="Source Sans Pro" w:hAnsi="Source Sans Pro"/>
        </w:rPr>
        <w:t>, в том числе, по адресу электронной почты Инвестора, указанному в последней представленной в Банк версии Анкеты Инвестора</w:t>
      </w:r>
      <w:r w:rsidRPr="000C2137">
        <w:rPr>
          <w:rFonts w:ascii="Source Sans Pro" w:hAnsi="Source Sans Pro"/>
        </w:rPr>
        <w:t xml:space="preserve">. Инвестор обязан исполнить требование Банка не позднее конца </w:t>
      </w:r>
      <w:r w:rsidR="00EA1D05">
        <w:rPr>
          <w:rFonts w:ascii="Source Sans Pro" w:hAnsi="Source Sans Pro"/>
        </w:rPr>
        <w:t>Р</w:t>
      </w:r>
      <w:r w:rsidRPr="000C2137">
        <w:rPr>
          <w:rFonts w:ascii="Source Sans Pro" w:hAnsi="Source Sans Pro"/>
        </w:rPr>
        <w:t xml:space="preserve">абочего дня, следующего за днем направления Банком требования, если иной срок не предусмотрен таким требованием. </w:t>
      </w:r>
    </w:p>
    <w:p w14:paraId="3602FA20" w14:textId="2B61AA3B" w:rsidR="0011786D" w:rsidRPr="000C2137" w:rsidRDefault="0011786D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В случае если Инвестор не исполнил требование Банка о снижении </w:t>
      </w:r>
      <w:r w:rsidR="00E735B8" w:rsidRPr="000C2137">
        <w:rPr>
          <w:rFonts w:ascii="Source Sans Pro" w:hAnsi="Source Sans Pro"/>
        </w:rPr>
        <w:t>Р</w:t>
      </w:r>
      <w:r w:rsidRPr="000C2137">
        <w:rPr>
          <w:rFonts w:ascii="Source Sans Pro" w:hAnsi="Source Sans Pro"/>
        </w:rPr>
        <w:t xml:space="preserve">азмера </w:t>
      </w:r>
      <w:r w:rsidR="00E735B8" w:rsidRPr="000C2137">
        <w:rPr>
          <w:rFonts w:ascii="Source Sans Pro" w:hAnsi="Source Sans Pro"/>
        </w:rPr>
        <w:t>м</w:t>
      </w:r>
      <w:r w:rsidRPr="000C2137">
        <w:rPr>
          <w:rFonts w:ascii="Source Sans Pro" w:hAnsi="Source Sans Pro"/>
        </w:rPr>
        <w:t xml:space="preserve">инимальной маржи и/или увеличении Стоимости Портфеля, Банк имеет право и настоящим уполномочен Инвестором совершить операции, направленные на увеличение Стоимости Портфеля Инвестора и/или снижение </w:t>
      </w:r>
      <w:r w:rsidR="004E650E" w:rsidRPr="000C2137">
        <w:rPr>
          <w:rFonts w:ascii="Source Sans Pro" w:hAnsi="Source Sans Pro"/>
        </w:rPr>
        <w:t>Р</w:t>
      </w:r>
      <w:r w:rsidRPr="000C2137">
        <w:rPr>
          <w:rFonts w:ascii="Source Sans Pro" w:hAnsi="Source Sans Pro"/>
        </w:rPr>
        <w:t xml:space="preserve">азмера </w:t>
      </w:r>
      <w:r w:rsidR="004E650E" w:rsidRPr="000C2137">
        <w:rPr>
          <w:rFonts w:ascii="Source Sans Pro" w:hAnsi="Source Sans Pro"/>
        </w:rPr>
        <w:t>м</w:t>
      </w:r>
      <w:r w:rsidRPr="000C2137">
        <w:rPr>
          <w:rFonts w:ascii="Source Sans Pro" w:hAnsi="Source Sans Pro"/>
        </w:rPr>
        <w:t>инимальной маржи. При этом операции совершаются с учетом требований, установленны</w:t>
      </w:r>
      <w:r w:rsidR="00EA1D05">
        <w:rPr>
          <w:rFonts w:ascii="Source Sans Pro" w:hAnsi="Source Sans Pro"/>
        </w:rPr>
        <w:t>х</w:t>
      </w:r>
      <w:r w:rsidRPr="000C2137">
        <w:rPr>
          <w:rFonts w:ascii="Source Sans Pro" w:hAnsi="Source Sans Pro"/>
        </w:rPr>
        <w:t xml:space="preserve"> </w:t>
      </w:r>
      <w:r w:rsidR="00E735B8" w:rsidRPr="000C2137">
        <w:rPr>
          <w:rFonts w:ascii="Source Sans Pro" w:hAnsi="Source Sans Pro"/>
        </w:rPr>
        <w:t>Указанием</w:t>
      </w:r>
      <w:r w:rsidRPr="000C2137">
        <w:rPr>
          <w:rFonts w:ascii="Source Sans Pro" w:hAnsi="Source Sans Pro"/>
        </w:rPr>
        <w:t xml:space="preserve">. Невозможность совершения Банком указанных операций не снимает с Инвестора ответственности за исполнение </w:t>
      </w:r>
      <w:r w:rsidR="00AA6D4A" w:rsidRPr="000C2137">
        <w:rPr>
          <w:rFonts w:ascii="Source Sans Pro" w:hAnsi="Source Sans Pro"/>
        </w:rPr>
        <w:t>о</w:t>
      </w:r>
      <w:r w:rsidRPr="000C2137">
        <w:rPr>
          <w:rFonts w:ascii="Source Sans Pro" w:hAnsi="Source Sans Pro"/>
        </w:rPr>
        <w:t>бязательств по заключен</w:t>
      </w:r>
      <w:r w:rsidR="004E650E" w:rsidRPr="000C2137">
        <w:rPr>
          <w:rFonts w:ascii="Source Sans Pro" w:hAnsi="Source Sans Pro"/>
        </w:rPr>
        <w:t>ным по его поручению сделкам и о</w:t>
      </w:r>
      <w:r w:rsidRPr="000C2137">
        <w:rPr>
          <w:rFonts w:ascii="Source Sans Pro" w:hAnsi="Source Sans Pro"/>
        </w:rPr>
        <w:t>ткрытым позициям.</w:t>
      </w:r>
      <w:r w:rsidR="004E650E" w:rsidRPr="000C2137">
        <w:rPr>
          <w:rFonts w:ascii="Source Sans Pro" w:hAnsi="Source Sans Pro"/>
        </w:rPr>
        <w:t xml:space="preserve"> </w:t>
      </w:r>
      <w:r w:rsidRPr="000C2137">
        <w:rPr>
          <w:rFonts w:ascii="Source Sans Pro" w:hAnsi="Source Sans Pro"/>
        </w:rPr>
        <w:t>Банк не несет ответственности за любые убытки Инвестора, возникшие вследствие совершения указанных операций.</w:t>
      </w:r>
    </w:p>
    <w:p w14:paraId="2B426389" w14:textId="77777777" w:rsidR="0034796D" w:rsidRPr="000C2137" w:rsidRDefault="00B220D9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При снижении Стоимости Портфеля Инвестора ниже Размера начальной маржи Инвестор обязан:</w:t>
      </w:r>
    </w:p>
    <w:p w14:paraId="2CF1444E" w14:textId="5CCC6AA8" w:rsidR="0034796D" w:rsidRPr="000C2137" w:rsidRDefault="0034796D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- </w:t>
      </w:r>
      <w:r w:rsidR="002C7F7E">
        <w:rPr>
          <w:rFonts w:ascii="Source Sans Pro" w:hAnsi="Source Sans Pro"/>
        </w:rPr>
        <w:t>о</w:t>
      </w:r>
      <w:r w:rsidR="00B220D9" w:rsidRPr="000C2137">
        <w:rPr>
          <w:rFonts w:ascii="Source Sans Pro" w:hAnsi="Source Sans Pro"/>
        </w:rPr>
        <w:t>существить резервирование денежных средств на Брокерском счете</w:t>
      </w:r>
      <w:r w:rsidR="00834305">
        <w:rPr>
          <w:rFonts w:ascii="Source Sans Pro" w:hAnsi="Source Sans Pro"/>
        </w:rPr>
        <w:t xml:space="preserve"> путем перевода денежных средств на Брокерский счет с расчетного (текущего) счета, открытого в Банке или иной кредитной организации</w:t>
      </w:r>
      <w:r w:rsidR="00B220D9" w:rsidRPr="000C2137">
        <w:rPr>
          <w:rFonts w:ascii="Source Sans Pro" w:hAnsi="Source Sans Pro"/>
        </w:rPr>
        <w:t xml:space="preserve"> / резервирование Приемлемых ЦБ на Торговом разделе счета депо</w:t>
      </w:r>
      <w:r w:rsidR="00834305">
        <w:rPr>
          <w:rFonts w:ascii="Source Sans Pro" w:hAnsi="Source Sans Pro"/>
        </w:rPr>
        <w:t xml:space="preserve"> путем перевода ЦБ из стороннего депозитария на Торговый раздел счета депо в Банке</w:t>
      </w:r>
      <w:r w:rsidR="00B220D9" w:rsidRPr="000C2137">
        <w:rPr>
          <w:rFonts w:ascii="Source Sans Pro" w:hAnsi="Source Sans Pro"/>
        </w:rPr>
        <w:t>; и/или</w:t>
      </w:r>
    </w:p>
    <w:p w14:paraId="3ED62D64" w14:textId="77777777" w:rsidR="0034796D" w:rsidRPr="000C2137" w:rsidRDefault="0034796D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-</w:t>
      </w:r>
      <w:r w:rsidR="00B220D9" w:rsidRPr="000C2137">
        <w:rPr>
          <w:rFonts w:ascii="Source Sans Pro" w:hAnsi="Source Sans Pro"/>
        </w:rPr>
        <w:t xml:space="preserve"> Подать Заявки на полное/частичное закрытие позиций для снижения Размера начальной маржи и/или увеличения Стоимости Портфеля Инвестора таким образом, чтобы Стоимость Портфеля Инвестора превысила Размер начальной маржи. Заключение Сделки СпецРЕПО не является выполнением указанных обязательств.</w:t>
      </w:r>
    </w:p>
    <w:p w14:paraId="399832FD" w14:textId="77777777" w:rsidR="00C069FB" w:rsidRPr="000C2137" w:rsidRDefault="00B220D9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К закрытию позиций Инвестора не относятся действия Банка, совершенные на основании Заявки (поручения) Инвестора о совершении Сделки за счет Инвестора, в котором указаны конкретные ЦБ и срок исполнения такой Сделки.</w:t>
      </w:r>
    </w:p>
    <w:p w14:paraId="1EE8EFB3" w14:textId="77777777" w:rsidR="00653865" w:rsidRPr="000C2137" w:rsidRDefault="00653865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Перед тем, как приступить к принудительному закрытию </w:t>
      </w:r>
      <w:r w:rsidR="002C7F7E">
        <w:rPr>
          <w:rFonts w:ascii="Source Sans Pro" w:hAnsi="Source Sans Pro"/>
        </w:rPr>
        <w:t xml:space="preserve">позиций </w:t>
      </w:r>
      <w:r w:rsidRPr="000C2137">
        <w:rPr>
          <w:rFonts w:ascii="Source Sans Pro" w:hAnsi="Source Sans Pro"/>
        </w:rPr>
        <w:t>(совершению сделок)</w:t>
      </w:r>
      <w:r w:rsidR="002C7F7E">
        <w:rPr>
          <w:rFonts w:ascii="Source Sans Pro" w:hAnsi="Source Sans Pro"/>
        </w:rPr>
        <w:t>,</w:t>
      </w:r>
      <w:r w:rsidRPr="000C2137">
        <w:rPr>
          <w:rFonts w:ascii="Source Sans Pro" w:hAnsi="Source Sans Pro"/>
        </w:rPr>
        <w:t xml:space="preserve"> Банк аннулирует все ранее принятые от </w:t>
      </w:r>
      <w:r w:rsidR="001B6225" w:rsidRPr="000C2137">
        <w:rPr>
          <w:rFonts w:ascii="Source Sans Pro" w:hAnsi="Source Sans Pro"/>
        </w:rPr>
        <w:t>Инвестора</w:t>
      </w:r>
      <w:r w:rsidRPr="000C2137">
        <w:rPr>
          <w:rFonts w:ascii="Source Sans Pro" w:hAnsi="Source Sans Pro"/>
        </w:rPr>
        <w:t xml:space="preserve"> </w:t>
      </w:r>
      <w:r w:rsidR="002C7F7E">
        <w:rPr>
          <w:rFonts w:ascii="Source Sans Pro" w:hAnsi="Source Sans Pro"/>
        </w:rPr>
        <w:t>Заявки (</w:t>
      </w:r>
      <w:r w:rsidRPr="000C2137">
        <w:rPr>
          <w:rFonts w:ascii="Source Sans Pro" w:hAnsi="Source Sans Pro"/>
        </w:rPr>
        <w:t>поручения</w:t>
      </w:r>
      <w:r w:rsidR="002C7F7E">
        <w:rPr>
          <w:rFonts w:ascii="Source Sans Pro" w:hAnsi="Source Sans Pro"/>
        </w:rPr>
        <w:t>)</w:t>
      </w:r>
      <w:r w:rsidRPr="000C2137">
        <w:rPr>
          <w:rFonts w:ascii="Source Sans Pro" w:hAnsi="Source Sans Pro"/>
        </w:rPr>
        <w:t xml:space="preserve">. До завершения всех процедур по совершению сделок по принудительному закрытию Банк приостанавливает прием новых </w:t>
      </w:r>
      <w:r w:rsidR="002C7F7E">
        <w:rPr>
          <w:rFonts w:ascii="Source Sans Pro" w:hAnsi="Source Sans Pro"/>
        </w:rPr>
        <w:t>Заявок (</w:t>
      </w:r>
      <w:r w:rsidRPr="000C2137">
        <w:rPr>
          <w:rFonts w:ascii="Source Sans Pro" w:hAnsi="Source Sans Pro"/>
        </w:rPr>
        <w:t>поручений</w:t>
      </w:r>
      <w:r w:rsidR="002C7F7E">
        <w:rPr>
          <w:rFonts w:ascii="Source Sans Pro" w:hAnsi="Source Sans Pro"/>
        </w:rPr>
        <w:t>)</w:t>
      </w:r>
      <w:r w:rsidRPr="000C2137">
        <w:rPr>
          <w:rFonts w:ascii="Source Sans Pro" w:hAnsi="Source Sans Pro"/>
        </w:rPr>
        <w:t xml:space="preserve"> </w:t>
      </w:r>
      <w:r w:rsidR="009C25C5" w:rsidRPr="000C2137">
        <w:rPr>
          <w:rFonts w:ascii="Source Sans Pro" w:hAnsi="Source Sans Pro"/>
        </w:rPr>
        <w:t>Инвестора</w:t>
      </w:r>
      <w:r w:rsidRPr="000C2137">
        <w:rPr>
          <w:rFonts w:ascii="Source Sans Pro" w:hAnsi="Source Sans Pro"/>
        </w:rPr>
        <w:t>.</w:t>
      </w:r>
    </w:p>
    <w:p w14:paraId="024E63A7" w14:textId="41B2F3CF" w:rsidR="00421C79" w:rsidRDefault="00421C79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В отношении Инвесторов, отнесенных Банком к категории клиентов со стандартным уровнем риска, Банк осуществляет закрытие позиций Инвестора при достижении НПР1 нулевого значен</w:t>
      </w:r>
      <w:r w:rsidR="005B2E37">
        <w:rPr>
          <w:rFonts w:ascii="Source Sans Pro" w:hAnsi="Source Sans Pro"/>
        </w:rPr>
        <w:t xml:space="preserve">ия (при </w:t>
      </w:r>
      <w:bookmarkStart w:id="0" w:name="_GoBack"/>
      <w:bookmarkEnd w:id="0"/>
      <w:r w:rsidR="005B2E37">
        <w:rPr>
          <w:rFonts w:ascii="Source Sans Pro" w:hAnsi="Source Sans Pro"/>
        </w:rPr>
        <w:t>положительном значении Р</w:t>
      </w:r>
      <w:r>
        <w:rPr>
          <w:rFonts w:ascii="Source Sans Pro" w:hAnsi="Source Sans Pro"/>
        </w:rPr>
        <w:t>азмера начальной маржи).</w:t>
      </w:r>
    </w:p>
    <w:p w14:paraId="69406D0F" w14:textId="790E2B68" w:rsidR="00C069FB" w:rsidRPr="000C2137" w:rsidRDefault="00B220D9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Банк в соответствии с пунктом 4.15 Регламента </w:t>
      </w:r>
      <w:r w:rsidR="00252E54" w:rsidRPr="000C2137">
        <w:rPr>
          <w:rFonts w:ascii="Source Sans Pro" w:hAnsi="Source Sans Pro"/>
        </w:rPr>
        <w:t xml:space="preserve">обязан </w:t>
      </w:r>
      <w:r w:rsidRPr="000C2137">
        <w:rPr>
          <w:rFonts w:ascii="Source Sans Pro" w:hAnsi="Source Sans Pro"/>
        </w:rPr>
        <w:t>осуществлять закрытие позиций Инвестора при снижении показателя</w:t>
      </w:r>
      <w:r w:rsidR="002C7F7E">
        <w:rPr>
          <w:rFonts w:ascii="Source Sans Pro" w:hAnsi="Source Sans Pro"/>
        </w:rPr>
        <w:t xml:space="preserve"> НПР2</w:t>
      </w:r>
      <w:r w:rsidRPr="000C2137">
        <w:rPr>
          <w:rFonts w:ascii="Source Sans Pro" w:hAnsi="Source Sans Pro"/>
        </w:rPr>
        <w:t xml:space="preserve"> ниже 0 в следующие сроки:</w:t>
      </w:r>
    </w:p>
    <w:p w14:paraId="67A4B9C7" w14:textId="77777777" w:rsidR="00C069FB" w:rsidRPr="000C2137" w:rsidRDefault="00B220D9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lastRenderedPageBreak/>
        <w:t>(1) в случае если НПР2 принимает значение ниже «0» в течение Торгового дня до Ограничительного времени закрытия позиций, Банк обязан осуществить закрытие позиций Инвестора в течение этого Торгового дня;</w:t>
      </w:r>
    </w:p>
    <w:p w14:paraId="3578059F" w14:textId="77777777" w:rsidR="00CB3746" w:rsidRPr="000C2137" w:rsidRDefault="00B220D9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(2) в случае если НПР2 принимает значение ниже «0» в течение Торгового дня после Ограничительного времени закрытия позиций, Банк обязан осуществить закрытие позиций Инвестора не позднее Ограничительного времени закрытия позиций Инвестора ближайшего Торгового дня, следующего за Торговым днем, в котором наступило это обстоятельство.</w:t>
      </w:r>
    </w:p>
    <w:p w14:paraId="587C880A" w14:textId="77777777" w:rsidR="00EE593A" w:rsidRPr="000C2137" w:rsidRDefault="00B220D9" w:rsidP="000C2137">
      <w:pPr>
        <w:pStyle w:val="a3"/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В случае если до закрытия позиций Инвестора организованные торги ЦБ были приостановлены, и их возобновление произошло после Ограничительного времени закрытия позиций, Банк обязан осуществить закрытие позиций Инвестора не позднее Ограничительного времени закрытия позиций ближайшего Торгового дня, следующего за Торговым днем, в которо</w:t>
      </w:r>
      <w:r w:rsidR="00EE593A" w:rsidRPr="000C2137">
        <w:rPr>
          <w:rFonts w:ascii="Source Sans Pro" w:hAnsi="Source Sans Pro"/>
        </w:rPr>
        <w:t>м НПР2 принял значение ниже «0».</w:t>
      </w:r>
    </w:p>
    <w:p w14:paraId="3C7BDB53" w14:textId="77777777" w:rsidR="006B7767" w:rsidRPr="000C2137" w:rsidRDefault="00E91C04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Закрытие позиций может осуществляться Банком совокупно в отношении Портфеля Инвестора либо в отношении позиций в отдельных Активах. Расчет плановых позиций и процедура закрытия применяются в отношении каждого </w:t>
      </w:r>
      <w:r w:rsidR="000544F1" w:rsidRPr="000C2137">
        <w:rPr>
          <w:rFonts w:ascii="Source Sans Pro" w:hAnsi="Source Sans Pro"/>
        </w:rPr>
        <w:t>П</w:t>
      </w:r>
      <w:r w:rsidRPr="000C2137">
        <w:rPr>
          <w:rFonts w:ascii="Source Sans Pro" w:hAnsi="Source Sans Pro"/>
        </w:rPr>
        <w:t xml:space="preserve">ортфеля </w:t>
      </w:r>
      <w:r w:rsidR="000544F1" w:rsidRPr="000C2137">
        <w:rPr>
          <w:rFonts w:ascii="Source Sans Pro" w:hAnsi="Source Sans Pro"/>
        </w:rPr>
        <w:t>Инвестора</w:t>
      </w:r>
      <w:r w:rsidRPr="000C2137">
        <w:rPr>
          <w:rFonts w:ascii="Source Sans Pro" w:hAnsi="Source Sans Pro"/>
        </w:rPr>
        <w:t xml:space="preserve">. </w:t>
      </w:r>
      <w:r w:rsidR="000544F1" w:rsidRPr="000C2137">
        <w:rPr>
          <w:rFonts w:ascii="Source Sans Pro" w:hAnsi="Source Sans Pro"/>
        </w:rPr>
        <w:t xml:space="preserve">При этом </w:t>
      </w:r>
      <w:r w:rsidR="00EE593A" w:rsidRPr="000C2137">
        <w:rPr>
          <w:rFonts w:ascii="Source Sans Pro" w:hAnsi="Source Sans Pro"/>
        </w:rPr>
        <w:t xml:space="preserve">Банк вправе самостоятельно и по своему усмотрению определять состав и количество Активов, за счет которых совершаются действия по </w:t>
      </w:r>
      <w:r w:rsidR="00DC0EBD" w:rsidRPr="000C2137">
        <w:rPr>
          <w:rFonts w:ascii="Source Sans Pro" w:hAnsi="Source Sans Pro"/>
        </w:rPr>
        <w:t>п</w:t>
      </w:r>
      <w:r w:rsidR="00EE593A" w:rsidRPr="000C2137">
        <w:rPr>
          <w:rFonts w:ascii="Source Sans Pro" w:hAnsi="Source Sans Pro"/>
        </w:rPr>
        <w:t>ринудительному закрытию позиций Инвестора</w:t>
      </w:r>
      <w:r w:rsidR="00DC0EBD" w:rsidRPr="000C2137">
        <w:rPr>
          <w:rFonts w:ascii="Source Sans Pro" w:hAnsi="Source Sans Pro"/>
        </w:rPr>
        <w:t>.</w:t>
      </w:r>
      <w:r w:rsidR="006B7767" w:rsidRPr="000C2137">
        <w:rPr>
          <w:rFonts w:ascii="Source Sans Pro" w:hAnsi="Source Sans Pro"/>
        </w:rPr>
        <w:t xml:space="preserve"> </w:t>
      </w:r>
    </w:p>
    <w:p w14:paraId="7699C402" w14:textId="77777777" w:rsidR="00C662DD" w:rsidRPr="000C2137" w:rsidRDefault="00C662DD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Банк не осуществляет закрытие позиций Инвестора, если значение размера Минимальной маржи равно 0.</w:t>
      </w:r>
    </w:p>
    <w:p w14:paraId="04017E29" w14:textId="77777777" w:rsidR="00C662DD" w:rsidRPr="000C2137" w:rsidRDefault="00C662DD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Банк не осуществляет закрытие позиций Инвестора, если до их совершения НПР2 принял положительное значение.</w:t>
      </w:r>
    </w:p>
    <w:p w14:paraId="4851A111" w14:textId="77777777" w:rsidR="00066DDC" w:rsidRPr="000C2137" w:rsidRDefault="00631CBE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 xml:space="preserve">Настоящий Порядок дополняет положения </w:t>
      </w:r>
      <w:r w:rsidR="004A19B6" w:rsidRPr="000C2137">
        <w:rPr>
          <w:rFonts w:ascii="Source Sans Pro" w:hAnsi="Source Sans Pro"/>
        </w:rPr>
        <w:t>Регламента</w:t>
      </w:r>
      <w:r w:rsidRPr="000C2137">
        <w:rPr>
          <w:rFonts w:ascii="Source Sans Pro" w:hAnsi="Source Sans Pro"/>
        </w:rPr>
        <w:t xml:space="preserve"> и является их неотъемлемой частью. </w:t>
      </w:r>
      <w:r w:rsidR="00960EF1" w:rsidRPr="000C2137">
        <w:rPr>
          <w:rFonts w:ascii="Source Sans Pro" w:hAnsi="Source Sans Pro"/>
        </w:rPr>
        <w:t xml:space="preserve">Иные условия и особенности закрытия позиций Инвесторов могут быть предусмотрены в Регламенте. </w:t>
      </w:r>
      <w:r w:rsidRPr="000C2137">
        <w:rPr>
          <w:rFonts w:ascii="Source Sans Pro" w:hAnsi="Source Sans Pro"/>
        </w:rPr>
        <w:t xml:space="preserve">В случае возникновения противоречий между положениями Порядка и положениями </w:t>
      </w:r>
      <w:r w:rsidR="004A19B6" w:rsidRPr="000C2137">
        <w:rPr>
          <w:rFonts w:ascii="Source Sans Pro" w:hAnsi="Source Sans Pro"/>
        </w:rPr>
        <w:t>Регламента</w:t>
      </w:r>
      <w:r w:rsidRPr="000C2137">
        <w:rPr>
          <w:rFonts w:ascii="Source Sans Pro" w:hAnsi="Source Sans Pro"/>
        </w:rPr>
        <w:t xml:space="preserve"> (в том числе в результате внесения в </w:t>
      </w:r>
      <w:r w:rsidR="004A19B6" w:rsidRPr="000C2137">
        <w:rPr>
          <w:rFonts w:ascii="Source Sans Pro" w:hAnsi="Source Sans Pro"/>
        </w:rPr>
        <w:t>Регламент</w:t>
      </w:r>
      <w:r w:rsidRPr="000C2137">
        <w:rPr>
          <w:rFonts w:ascii="Source Sans Pro" w:hAnsi="Source Sans Pro"/>
        </w:rPr>
        <w:t xml:space="preserve"> изменений и/или дополнений), то к отношениям Банка и Инвестора в связи с </w:t>
      </w:r>
      <w:r w:rsidR="004A19B6" w:rsidRPr="000C2137">
        <w:rPr>
          <w:rFonts w:ascii="Source Sans Pro" w:hAnsi="Source Sans Pro"/>
        </w:rPr>
        <w:t>п</w:t>
      </w:r>
      <w:r w:rsidRPr="000C2137">
        <w:rPr>
          <w:rFonts w:ascii="Source Sans Pro" w:hAnsi="Source Sans Pro"/>
        </w:rPr>
        <w:t>ринудительным закрытием позиций Инвестора применяется настоящий Порядок</w:t>
      </w:r>
      <w:r w:rsidR="004A19B6" w:rsidRPr="000C2137">
        <w:rPr>
          <w:rFonts w:ascii="Source Sans Pro" w:hAnsi="Source Sans Pro"/>
        </w:rPr>
        <w:t>.</w:t>
      </w:r>
    </w:p>
    <w:p w14:paraId="7E9CEF86" w14:textId="2FA424A7" w:rsidR="009B08F5" w:rsidRPr="000C2137" w:rsidRDefault="009B08F5" w:rsidP="000C2137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ource Sans Pro" w:hAnsi="Source Sans Pro"/>
        </w:rPr>
      </w:pPr>
      <w:r w:rsidRPr="000C2137">
        <w:rPr>
          <w:rFonts w:ascii="Source Sans Pro" w:hAnsi="Source Sans Pro"/>
        </w:rPr>
        <w:t>Банк вправе в одностороннем порядке вносить изменения и дополнения в Порядок и/или утверждать Порядок в новой редакции.</w:t>
      </w:r>
      <w:r w:rsidR="00BA2C58" w:rsidRPr="000C2137">
        <w:rPr>
          <w:rFonts w:ascii="Source Sans Pro" w:hAnsi="Source Sans Pro"/>
        </w:rPr>
        <w:t xml:space="preserve"> </w:t>
      </w:r>
      <w:r w:rsidR="00960EF1" w:rsidRPr="000C2137">
        <w:rPr>
          <w:rFonts w:ascii="Source Sans Pro" w:hAnsi="Source Sans Pro"/>
        </w:rPr>
        <w:t>Действующая редакция</w:t>
      </w:r>
      <w:r w:rsidRPr="000C2137">
        <w:rPr>
          <w:rFonts w:ascii="Source Sans Pro" w:hAnsi="Source Sans Pro"/>
        </w:rPr>
        <w:t xml:space="preserve"> Порядка раскрыва</w:t>
      </w:r>
      <w:r w:rsidR="00960EF1" w:rsidRPr="000C2137">
        <w:rPr>
          <w:rFonts w:ascii="Source Sans Pro" w:hAnsi="Source Sans Pro"/>
        </w:rPr>
        <w:t>е</w:t>
      </w:r>
      <w:r w:rsidRPr="000C2137">
        <w:rPr>
          <w:rFonts w:ascii="Source Sans Pro" w:hAnsi="Source Sans Pro"/>
        </w:rPr>
        <w:t xml:space="preserve">тся на </w:t>
      </w:r>
      <w:r w:rsidR="00021B5F">
        <w:rPr>
          <w:rFonts w:ascii="Source Sans Pro" w:hAnsi="Source Sans Pro"/>
        </w:rPr>
        <w:t>С</w:t>
      </w:r>
      <w:r w:rsidRPr="000C2137">
        <w:rPr>
          <w:rFonts w:ascii="Source Sans Pro" w:hAnsi="Source Sans Pro"/>
        </w:rPr>
        <w:t>айте Банка в сети Интернет</w:t>
      </w:r>
      <w:r w:rsidR="00066DDC" w:rsidRPr="000C2137">
        <w:rPr>
          <w:rFonts w:ascii="Source Sans Pro" w:hAnsi="Source Sans Pro"/>
        </w:rPr>
        <w:t>.</w:t>
      </w:r>
    </w:p>
    <w:sectPr w:rsidR="009B08F5" w:rsidRPr="000C2137" w:rsidSect="000C2137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24D2" w14:textId="77777777" w:rsidR="00ED5FD7" w:rsidRDefault="00ED5FD7" w:rsidP="006B7767">
      <w:pPr>
        <w:spacing w:after="0" w:line="240" w:lineRule="auto"/>
      </w:pPr>
      <w:r>
        <w:separator/>
      </w:r>
    </w:p>
  </w:endnote>
  <w:endnote w:type="continuationSeparator" w:id="0">
    <w:p w14:paraId="061EF706" w14:textId="77777777" w:rsidR="00ED5FD7" w:rsidRDefault="00ED5FD7" w:rsidP="006B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6134"/>
      <w:docPartObj>
        <w:docPartGallery w:val="Page Numbers (Bottom of Page)"/>
        <w:docPartUnique/>
      </w:docPartObj>
    </w:sdtPr>
    <w:sdtEndPr/>
    <w:sdtContent>
      <w:p w14:paraId="66A88C03" w14:textId="5B4FD5DA" w:rsidR="006B7767" w:rsidRDefault="006B77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37">
          <w:rPr>
            <w:noProof/>
          </w:rPr>
          <w:t>3</w:t>
        </w:r>
        <w:r>
          <w:fldChar w:fldCharType="end"/>
        </w:r>
      </w:p>
    </w:sdtContent>
  </w:sdt>
  <w:p w14:paraId="6B1044CD" w14:textId="77777777" w:rsidR="006B7767" w:rsidRDefault="006B7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6FE8" w14:textId="77777777" w:rsidR="00ED5FD7" w:rsidRDefault="00ED5FD7" w:rsidP="006B7767">
      <w:pPr>
        <w:spacing w:after="0" w:line="240" w:lineRule="auto"/>
      </w:pPr>
      <w:r>
        <w:separator/>
      </w:r>
    </w:p>
  </w:footnote>
  <w:footnote w:type="continuationSeparator" w:id="0">
    <w:p w14:paraId="3257D7A7" w14:textId="77777777" w:rsidR="00ED5FD7" w:rsidRDefault="00ED5FD7" w:rsidP="006B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848"/>
    <w:multiLevelType w:val="hybridMultilevel"/>
    <w:tmpl w:val="1EC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1"/>
    <w:rsid w:val="00021B5F"/>
    <w:rsid w:val="00033A95"/>
    <w:rsid w:val="000544F1"/>
    <w:rsid w:val="00066DDC"/>
    <w:rsid w:val="000C2137"/>
    <w:rsid w:val="0011786D"/>
    <w:rsid w:val="001477FF"/>
    <w:rsid w:val="001805DA"/>
    <w:rsid w:val="001B6225"/>
    <w:rsid w:val="00252E54"/>
    <w:rsid w:val="002C7F7E"/>
    <w:rsid w:val="002D3864"/>
    <w:rsid w:val="0034796D"/>
    <w:rsid w:val="003F2FF9"/>
    <w:rsid w:val="004067CB"/>
    <w:rsid w:val="00415081"/>
    <w:rsid w:val="00421C79"/>
    <w:rsid w:val="0042681B"/>
    <w:rsid w:val="004A19B6"/>
    <w:rsid w:val="004E650E"/>
    <w:rsid w:val="00511C63"/>
    <w:rsid w:val="005163C8"/>
    <w:rsid w:val="005816D8"/>
    <w:rsid w:val="005B2E37"/>
    <w:rsid w:val="00631CBE"/>
    <w:rsid w:val="00653865"/>
    <w:rsid w:val="006A55C2"/>
    <w:rsid w:val="006B7767"/>
    <w:rsid w:val="006B79D3"/>
    <w:rsid w:val="006D7592"/>
    <w:rsid w:val="00824A03"/>
    <w:rsid w:val="00827993"/>
    <w:rsid w:val="00834305"/>
    <w:rsid w:val="00907E7A"/>
    <w:rsid w:val="00960EF1"/>
    <w:rsid w:val="0098100A"/>
    <w:rsid w:val="009A5184"/>
    <w:rsid w:val="009B08F5"/>
    <w:rsid w:val="009C25C5"/>
    <w:rsid w:val="009F7AB3"/>
    <w:rsid w:val="00AA6D4A"/>
    <w:rsid w:val="00B220D9"/>
    <w:rsid w:val="00B36381"/>
    <w:rsid w:val="00B74D50"/>
    <w:rsid w:val="00BA2C58"/>
    <w:rsid w:val="00BE3A14"/>
    <w:rsid w:val="00BF47E9"/>
    <w:rsid w:val="00C069FB"/>
    <w:rsid w:val="00C2153E"/>
    <w:rsid w:val="00C662DD"/>
    <w:rsid w:val="00CB3746"/>
    <w:rsid w:val="00CC70A7"/>
    <w:rsid w:val="00CE7639"/>
    <w:rsid w:val="00D02907"/>
    <w:rsid w:val="00D85E16"/>
    <w:rsid w:val="00D93FAB"/>
    <w:rsid w:val="00DA08CA"/>
    <w:rsid w:val="00DB0B9C"/>
    <w:rsid w:val="00DC0EBD"/>
    <w:rsid w:val="00E02F18"/>
    <w:rsid w:val="00E138D2"/>
    <w:rsid w:val="00E25903"/>
    <w:rsid w:val="00E47671"/>
    <w:rsid w:val="00E7002F"/>
    <w:rsid w:val="00E735B8"/>
    <w:rsid w:val="00E91C04"/>
    <w:rsid w:val="00EA1D05"/>
    <w:rsid w:val="00EB03B7"/>
    <w:rsid w:val="00ED18E8"/>
    <w:rsid w:val="00ED5FD7"/>
    <w:rsid w:val="00EE593A"/>
    <w:rsid w:val="00F027E8"/>
    <w:rsid w:val="00F13654"/>
    <w:rsid w:val="00F21D9C"/>
    <w:rsid w:val="00F42408"/>
    <w:rsid w:val="00F4618B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2BF34"/>
  <w15:chartTrackingRefBased/>
  <w15:docId w15:val="{C3369674-D8A2-435F-A481-400BF0B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767"/>
  </w:style>
  <w:style w:type="paragraph" w:styleId="a6">
    <w:name w:val="footer"/>
    <w:basedOn w:val="a"/>
    <w:link w:val="a7"/>
    <w:uiPriority w:val="99"/>
    <w:unhideWhenUsed/>
    <w:rsid w:val="006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767"/>
  </w:style>
  <w:style w:type="character" w:styleId="a8">
    <w:name w:val="annotation reference"/>
    <w:basedOn w:val="a0"/>
    <w:uiPriority w:val="99"/>
    <w:semiHidden/>
    <w:unhideWhenUsed/>
    <w:rsid w:val="00824A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4A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4A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4A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4A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cuMDUuMjAyMSAxMDowNzox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9642-9940-43DB-A5AB-316CDE5C251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0DE9B1F-D21B-4073-A4F1-676FE59528E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E7F5007-200F-4597-B00E-CCC21FDB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 Тимур Фаритович</dc:creator>
  <cp:keywords/>
  <dc:description>C0 - Public |j,llsaj12398**C0)knasdals|</dc:description>
  <cp:lastModifiedBy>Тяпкина Елена Витальевна</cp:lastModifiedBy>
  <cp:revision>3</cp:revision>
  <dcterms:created xsi:type="dcterms:W3CDTF">2021-06-11T14:13:00Z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08141a53-41ed-4326-8ac8-2a47fafbdb89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{5B8E9642-9940-43DB-A5AB-316CDE5C2512}</vt:lpwstr>
  </property>
</Properties>
</file>