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7D" w:rsidRPr="00811316" w:rsidRDefault="0063677D" w:rsidP="0063677D">
      <w:pPr>
        <w:pStyle w:val="2"/>
        <w:keepNext w:val="0"/>
        <w:pBdr>
          <w:top w:val="single" w:sz="4" w:space="1" w:color="auto"/>
          <w:left w:val="single" w:sz="4" w:space="4" w:color="auto"/>
          <w:bottom w:val="single" w:sz="4" w:space="1" w:color="auto"/>
          <w:right w:val="single" w:sz="4" w:space="4" w:color="auto"/>
        </w:pBdr>
        <w:ind w:left="8080"/>
        <w:jc w:val="both"/>
        <w:rPr>
          <w:rFonts w:ascii="Arial" w:hAnsi="Arial"/>
          <w:b w:val="0"/>
          <w:bCs w:val="0"/>
          <w:sz w:val="20"/>
          <w:szCs w:val="20"/>
          <w:lang w:bidi="en-US"/>
        </w:rPr>
      </w:pPr>
      <w:r w:rsidRPr="000830C4">
        <w:rPr>
          <w:rFonts w:ascii="Arial" w:hAnsi="Arial"/>
          <w:b w:val="0"/>
          <w:bCs w:val="0"/>
          <w:sz w:val="20"/>
          <w:szCs w:val="20"/>
          <w:lang w:bidi="en-US"/>
        </w:rPr>
        <w:t>ТФ-2108-40/8</w:t>
      </w:r>
    </w:p>
    <w:tbl>
      <w:tblPr>
        <w:tblStyle w:val="af0"/>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1097"/>
        <w:gridCol w:w="4010"/>
      </w:tblGrid>
      <w:tr w:rsidR="001468A2" w:rsidRPr="00952F81" w:rsidTr="00D05333">
        <w:tc>
          <w:tcPr>
            <w:tcW w:w="10214" w:type="dxa"/>
            <w:gridSpan w:val="3"/>
          </w:tcPr>
          <w:p w:rsidR="001468A2" w:rsidRPr="00164312" w:rsidRDefault="001468A2" w:rsidP="00A33D00">
            <w:pPr>
              <w:jc w:val="center"/>
              <w:rPr>
                <w:rFonts w:cs="Arial"/>
                <w:b/>
                <w:sz w:val="20"/>
                <w:szCs w:val="20"/>
              </w:rPr>
            </w:pPr>
            <w:r w:rsidRPr="00952F81">
              <w:rPr>
                <w:b/>
                <w:sz w:val="20"/>
                <w:szCs w:val="20"/>
                <w:lang w:bidi="en-US"/>
              </w:rPr>
              <w:t xml:space="preserve">Application for the provision of brokerage and </w:t>
            </w:r>
            <w:r w:rsidR="000B1511">
              <w:rPr>
                <w:b/>
                <w:sz w:val="20"/>
                <w:szCs w:val="20"/>
                <w:lang w:bidi="en-US"/>
              </w:rPr>
              <w:t>custody</w:t>
            </w:r>
            <w:r w:rsidR="000B1511" w:rsidRPr="00952F81">
              <w:rPr>
                <w:b/>
                <w:sz w:val="20"/>
                <w:szCs w:val="20"/>
                <w:lang w:bidi="en-US"/>
              </w:rPr>
              <w:t xml:space="preserve"> </w:t>
            </w:r>
            <w:r w:rsidRPr="00952F81">
              <w:rPr>
                <w:b/>
                <w:sz w:val="20"/>
                <w:szCs w:val="20"/>
                <w:lang w:bidi="en-US"/>
              </w:rPr>
              <w:t>services in the securities market</w:t>
            </w:r>
          </w:p>
          <w:p w:rsidR="00163DAC" w:rsidRPr="009C66DE" w:rsidRDefault="00163DAC" w:rsidP="00A33D00">
            <w:pPr>
              <w:jc w:val="center"/>
              <w:rPr>
                <w:rFonts w:cs="Arial"/>
                <w:b/>
                <w:sz w:val="20"/>
                <w:szCs w:val="20"/>
              </w:rPr>
            </w:pPr>
          </w:p>
        </w:tc>
      </w:tr>
      <w:tr w:rsidR="00FE1E8A" w:rsidRPr="00952F81" w:rsidTr="00470D90">
        <w:tc>
          <w:tcPr>
            <w:tcW w:w="6204" w:type="dxa"/>
            <w:gridSpan w:val="2"/>
          </w:tcPr>
          <w:p w:rsidR="00FE1E8A" w:rsidRPr="00952F81" w:rsidRDefault="00FE1E8A" w:rsidP="00470D90">
            <w:pPr>
              <w:spacing w:after="60"/>
              <w:rPr>
                <w:rFonts w:cs="Arial"/>
                <w:sz w:val="20"/>
                <w:szCs w:val="20"/>
              </w:rPr>
            </w:pPr>
            <w:r w:rsidRPr="00952F81">
              <w:rPr>
                <w:sz w:val="20"/>
                <w:szCs w:val="20"/>
                <w:lang w:bidi="en-US"/>
              </w:rPr>
              <w:fldChar w:fldCharType="begin">
                <w:ffData>
                  <w:name w:val="Флажок2"/>
                  <w:enabled/>
                  <w:calcOnExit w:val="0"/>
                  <w:checkBox>
                    <w:sizeAuto/>
                    <w:default w:val="0"/>
                  </w:checkBox>
                </w:ffData>
              </w:fldChar>
            </w:r>
            <w:r w:rsidRPr="00952F81">
              <w:rPr>
                <w:sz w:val="20"/>
                <w:szCs w:val="20"/>
                <w:lang w:bidi="en-US"/>
              </w:rPr>
              <w:instrText xml:space="preserve"> FORMCHECKBOX </w:instrText>
            </w:r>
            <w:r w:rsidR="005B5E60">
              <w:rPr>
                <w:sz w:val="20"/>
                <w:szCs w:val="20"/>
                <w:lang w:bidi="en-US"/>
              </w:rPr>
            </w:r>
            <w:r w:rsidR="005B5E60">
              <w:rPr>
                <w:sz w:val="20"/>
                <w:szCs w:val="20"/>
                <w:lang w:bidi="en-US"/>
              </w:rPr>
              <w:fldChar w:fldCharType="separate"/>
            </w:r>
            <w:r w:rsidRPr="00952F81">
              <w:rPr>
                <w:sz w:val="20"/>
                <w:szCs w:val="20"/>
                <w:lang w:bidi="en-US"/>
              </w:rPr>
              <w:fldChar w:fldCharType="end"/>
            </w:r>
            <w:r>
              <w:rPr>
                <w:sz w:val="20"/>
                <w:szCs w:val="20"/>
                <w:lang w:bidi="en-US"/>
              </w:rPr>
              <w:t xml:space="preserve"> Conclusion of a </w:t>
            </w:r>
            <w:r w:rsidR="005E3784">
              <w:rPr>
                <w:sz w:val="20"/>
                <w:szCs w:val="20"/>
                <w:lang w:bidi="en-US"/>
              </w:rPr>
              <w:t>Brokerage Services Agreement</w:t>
            </w:r>
          </w:p>
        </w:tc>
        <w:tc>
          <w:tcPr>
            <w:tcW w:w="4010" w:type="dxa"/>
          </w:tcPr>
          <w:p w:rsidR="00FE1E8A" w:rsidRPr="00952F81" w:rsidRDefault="00FE1E8A" w:rsidP="00470D90">
            <w:pPr>
              <w:spacing w:after="60"/>
              <w:rPr>
                <w:rFonts w:cs="Arial"/>
                <w:sz w:val="20"/>
                <w:szCs w:val="20"/>
              </w:rPr>
            </w:pPr>
            <w:r w:rsidRPr="00952F81">
              <w:rPr>
                <w:sz w:val="20"/>
                <w:szCs w:val="20"/>
                <w:lang w:bidi="en-US"/>
              </w:rPr>
              <w:fldChar w:fldCharType="begin">
                <w:ffData>
                  <w:name w:val="Флажок2"/>
                  <w:enabled/>
                  <w:calcOnExit w:val="0"/>
                  <w:checkBox>
                    <w:sizeAuto/>
                    <w:default w:val="0"/>
                  </w:checkBox>
                </w:ffData>
              </w:fldChar>
            </w:r>
            <w:r w:rsidRPr="00952F81">
              <w:rPr>
                <w:sz w:val="20"/>
                <w:szCs w:val="20"/>
                <w:lang w:bidi="en-US"/>
              </w:rPr>
              <w:instrText xml:space="preserve"> FORMCHECKBOX </w:instrText>
            </w:r>
            <w:r w:rsidR="005B5E60">
              <w:rPr>
                <w:sz w:val="20"/>
                <w:szCs w:val="20"/>
                <w:lang w:bidi="en-US"/>
              </w:rPr>
            </w:r>
            <w:r w:rsidR="005B5E60">
              <w:rPr>
                <w:sz w:val="20"/>
                <w:szCs w:val="20"/>
                <w:lang w:bidi="en-US"/>
              </w:rPr>
              <w:fldChar w:fldCharType="separate"/>
            </w:r>
            <w:r w:rsidRPr="00952F81">
              <w:rPr>
                <w:sz w:val="20"/>
                <w:szCs w:val="20"/>
                <w:lang w:bidi="en-US"/>
              </w:rPr>
              <w:fldChar w:fldCharType="end"/>
            </w:r>
            <w:r w:rsidRPr="00952F81">
              <w:rPr>
                <w:sz w:val="20"/>
                <w:szCs w:val="20"/>
                <w:lang w:bidi="en-US"/>
              </w:rPr>
              <w:t xml:space="preserve"> Amendment to the agreement</w:t>
            </w:r>
          </w:p>
        </w:tc>
      </w:tr>
      <w:tr w:rsidR="00FE1E8A" w:rsidRPr="00952F81" w:rsidTr="00470D90">
        <w:tc>
          <w:tcPr>
            <w:tcW w:w="6204" w:type="dxa"/>
            <w:gridSpan w:val="2"/>
          </w:tcPr>
          <w:p w:rsidR="00FE1E8A" w:rsidRPr="00952F81" w:rsidDel="00FE1E8A" w:rsidRDefault="00FE1E8A" w:rsidP="000B1511">
            <w:pPr>
              <w:spacing w:after="60"/>
              <w:rPr>
                <w:rFonts w:cs="Arial"/>
                <w:sz w:val="20"/>
                <w:szCs w:val="20"/>
              </w:rPr>
            </w:pPr>
            <w:r w:rsidRPr="00952F81">
              <w:rPr>
                <w:sz w:val="20"/>
                <w:szCs w:val="20"/>
                <w:lang w:bidi="en-US"/>
              </w:rPr>
              <w:fldChar w:fldCharType="begin">
                <w:ffData>
                  <w:name w:val="Флажок2"/>
                  <w:enabled/>
                  <w:calcOnExit w:val="0"/>
                  <w:checkBox>
                    <w:sizeAuto/>
                    <w:default w:val="0"/>
                  </w:checkBox>
                </w:ffData>
              </w:fldChar>
            </w:r>
            <w:r w:rsidRPr="00952F81">
              <w:rPr>
                <w:sz w:val="20"/>
                <w:szCs w:val="20"/>
                <w:lang w:bidi="en-US"/>
              </w:rPr>
              <w:instrText xml:space="preserve"> FORMCHECKBOX </w:instrText>
            </w:r>
            <w:r w:rsidR="005B5E60">
              <w:rPr>
                <w:sz w:val="20"/>
                <w:szCs w:val="20"/>
                <w:lang w:bidi="en-US"/>
              </w:rPr>
            </w:r>
            <w:r w:rsidR="005B5E60">
              <w:rPr>
                <w:sz w:val="20"/>
                <w:szCs w:val="20"/>
                <w:lang w:bidi="en-US"/>
              </w:rPr>
              <w:fldChar w:fldCharType="separate"/>
            </w:r>
            <w:r w:rsidRPr="00952F81">
              <w:rPr>
                <w:sz w:val="20"/>
                <w:szCs w:val="20"/>
                <w:lang w:bidi="en-US"/>
              </w:rPr>
              <w:fldChar w:fldCharType="end"/>
            </w:r>
            <w:r>
              <w:rPr>
                <w:sz w:val="20"/>
                <w:szCs w:val="20"/>
                <w:lang w:bidi="en-US"/>
              </w:rPr>
              <w:t xml:space="preserve"> Conclusion of a </w:t>
            </w:r>
            <w:r w:rsidR="000B1511">
              <w:rPr>
                <w:sz w:val="20"/>
                <w:szCs w:val="20"/>
                <w:lang w:bidi="en-US"/>
              </w:rPr>
              <w:t>custody</w:t>
            </w:r>
            <w:r>
              <w:rPr>
                <w:sz w:val="20"/>
                <w:szCs w:val="20"/>
                <w:lang w:bidi="en-US"/>
              </w:rPr>
              <w:t xml:space="preserve"> agreement</w:t>
            </w:r>
            <w:r>
              <w:rPr>
                <w:sz w:val="20"/>
                <w:szCs w:val="20"/>
                <w:lang w:bidi="en-US"/>
              </w:rPr>
              <w:tab/>
            </w:r>
          </w:p>
        </w:tc>
        <w:tc>
          <w:tcPr>
            <w:tcW w:w="4010" w:type="dxa"/>
          </w:tcPr>
          <w:p w:rsidR="00FE1E8A" w:rsidRPr="00952F81" w:rsidDel="00FE1E8A" w:rsidRDefault="00FE1E8A" w:rsidP="00470D90">
            <w:pPr>
              <w:spacing w:after="60"/>
              <w:rPr>
                <w:rFonts w:cs="Arial"/>
                <w:sz w:val="20"/>
                <w:szCs w:val="20"/>
              </w:rPr>
            </w:pPr>
            <w:r w:rsidRPr="00952F81">
              <w:rPr>
                <w:sz w:val="20"/>
                <w:szCs w:val="20"/>
                <w:lang w:bidi="en-US"/>
              </w:rPr>
              <w:fldChar w:fldCharType="begin">
                <w:ffData>
                  <w:name w:val="Флажок2"/>
                  <w:enabled/>
                  <w:calcOnExit w:val="0"/>
                  <w:checkBox>
                    <w:sizeAuto/>
                    <w:default w:val="0"/>
                  </w:checkBox>
                </w:ffData>
              </w:fldChar>
            </w:r>
            <w:r w:rsidRPr="00952F81">
              <w:rPr>
                <w:sz w:val="20"/>
                <w:szCs w:val="20"/>
                <w:lang w:bidi="en-US"/>
              </w:rPr>
              <w:instrText xml:space="preserve"> FORMCHECKBOX </w:instrText>
            </w:r>
            <w:r w:rsidR="005B5E60">
              <w:rPr>
                <w:sz w:val="20"/>
                <w:szCs w:val="20"/>
                <w:lang w:bidi="en-US"/>
              </w:rPr>
            </w:r>
            <w:r w:rsidR="005B5E60">
              <w:rPr>
                <w:sz w:val="20"/>
                <w:szCs w:val="20"/>
                <w:lang w:bidi="en-US"/>
              </w:rPr>
              <w:fldChar w:fldCharType="separate"/>
            </w:r>
            <w:r w:rsidRPr="00952F81">
              <w:rPr>
                <w:sz w:val="20"/>
                <w:szCs w:val="20"/>
                <w:lang w:bidi="en-US"/>
              </w:rPr>
              <w:fldChar w:fldCharType="end"/>
            </w:r>
            <w:r w:rsidRPr="00952F81">
              <w:rPr>
                <w:sz w:val="20"/>
                <w:szCs w:val="20"/>
                <w:lang w:bidi="en-US"/>
              </w:rPr>
              <w:t xml:space="preserve"> Amendment to the agreement</w:t>
            </w:r>
          </w:p>
        </w:tc>
      </w:tr>
      <w:tr w:rsidR="001468A2" w:rsidRPr="00952F81" w:rsidTr="00D05333">
        <w:tc>
          <w:tcPr>
            <w:tcW w:w="10214" w:type="dxa"/>
            <w:gridSpan w:val="3"/>
            <w:tcBorders>
              <w:bottom w:val="single" w:sz="4" w:space="0" w:color="auto"/>
            </w:tcBorders>
          </w:tcPr>
          <w:p w:rsidR="001468A2" w:rsidRPr="00952F81" w:rsidRDefault="001468A2" w:rsidP="00470D90">
            <w:pPr>
              <w:spacing w:before="240"/>
              <w:rPr>
                <w:rFonts w:cs="Arial"/>
                <w:sz w:val="20"/>
                <w:szCs w:val="20"/>
              </w:rPr>
            </w:pPr>
            <w:r w:rsidRPr="00952F81">
              <w:rPr>
                <w:sz w:val="20"/>
                <w:szCs w:val="20"/>
                <w:lang w:bidi="en-US"/>
              </w:rPr>
              <w:t>Hereby</w:t>
            </w:r>
          </w:p>
        </w:tc>
      </w:tr>
      <w:tr w:rsidR="001468A2" w:rsidRPr="00952F81" w:rsidTr="00D05333">
        <w:tc>
          <w:tcPr>
            <w:tcW w:w="10214" w:type="dxa"/>
            <w:gridSpan w:val="3"/>
            <w:tcBorders>
              <w:top w:val="single" w:sz="4" w:space="0" w:color="auto"/>
            </w:tcBorders>
          </w:tcPr>
          <w:p w:rsidR="001468A2" w:rsidRPr="00952F81" w:rsidRDefault="001468A2" w:rsidP="00A817E4">
            <w:pPr>
              <w:pStyle w:val="Default"/>
              <w:jc w:val="center"/>
              <w:rPr>
                <w:rFonts w:ascii="Arial" w:hAnsi="Arial" w:cs="Arial"/>
                <w:sz w:val="16"/>
                <w:szCs w:val="16"/>
              </w:rPr>
            </w:pPr>
            <w:r w:rsidRPr="00952F81">
              <w:rPr>
                <w:i/>
                <w:sz w:val="16"/>
                <w:szCs w:val="16"/>
                <w:lang w:bidi="en-US"/>
              </w:rPr>
              <w:t>(please, specify: full name of the Client for individuals and full business name of the Client for legal entities)</w:t>
            </w:r>
          </w:p>
        </w:tc>
      </w:tr>
      <w:tr w:rsidR="001468A2" w:rsidRPr="00952F81" w:rsidTr="00D05333">
        <w:tc>
          <w:tcPr>
            <w:tcW w:w="10214" w:type="dxa"/>
            <w:gridSpan w:val="3"/>
            <w:tcBorders>
              <w:bottom w:val="single" w:sz="4" w:space="0" w:color="auto"/>
            </w:tcBorders>
          </w:tcPr>
          <w:p w:rsidR="001468A2" w:rsidRPr="00952F81" w:rsidRDefault="001468A2" w:rsidP="006C5102">
            <w:pPr>
              <w:rPr>
                <w:rFonts w:cs="Arial"/>
                <w:sz w:val="20"/>
                <w:szCs w:val="20"/>
              </w:rPr>
            </w:pPr>
            <w:r w:rsidRPr="00952F81">
              <w:rPr>
                <w:sz w:val="20"/>
                <w:szCs w:val="20"/>
                <w:lang w:bidi="en-US"/>
              </w:rPr>
              <w:t>(hereinafter referred to as “the Client”)</w:t>
            </w:r>
          </w:p>
        </w:tc>
      </w:tr>
      <w:tr w:rsidR="00FE1E8A" w:rsidRPr="00952F81" w:rsidTr="00470D90">
        <w:tc>
          <w:tcPr>
            <w:tcW w:w="10214" w:type="dxa"/>
            <w:gridSpan w:val="3"/>
            <w:tcBorders>
              <w:top w:val="single" w:sz="4" w:space="0" w:color="auto"/>
              <w:bottom w:val="single" w:sz="4" w:space="0" w:color="auto"/>
            </w:tcBorders>
          </w:tcPr>
          <w:p w:rsidR="00FE1E8A" w:rsidRDefault="00FE1E8A" w:rsidP="00470D90">
            <w:pPr>
              <w:spacing w:before="240"/>
              <w:rPr>
                <w:rFonts w:cs="Arial"/>
                <w:sz w:val="20"/>
                <w:szCs w:val="20"/>
              </w:rPr>
            </w:pPr>
            <w:r>
              <w:rPr>
                <w:sz w:val="20"/>
                <w:szCs w:val="20"/>
                <w:lang w:bidi="en-US"/>
              </w:rPr>
              <w:t>represented by</w:t>
            </w:r>
          </w:p>
        </w:tc>
      </w:tr>
      <w:tr w:rsidR="00FE1E8A" w:rsidRPr="00952F81" w:rsidTr="00470D90">
        <w:tc>
          <w:tcPr>
            <w:tcW w:w="10214" w:type="dxa"/>
            <w:gridSpan w:val="3"/>
            <w:tcBorders>
              <w:top w:val="single" w:sz="4" w:space="0" w:color="auto"/>
            </w:tcBorders>
          </w:tcPr>
          <w:p w:rsidR="00FE1E8A" w:rsidRPr="00470D90" w:rsidDel="00FE1E8A" w:rsidRDefault="00FE1E8A" w:rsidP="00EC2941">
            <w:pPr>
              <w:rPr>
                <w:rFonts w:cs="Arial"/>
                <w:i/>
                <w:sz w:val="16"/>
                <w:szCs w:val="16"/>
              </w:rPr>
            </w:pPr>
            <w:r w:rsidRPr="00470D90">
              <w:rPr>
                <w:i/>
                <w:sz w:val="16"/>
                <w:szCs w:val="16"/>
                <w:lang w:bidi="en-US"/>
              </w:rPr>
              <w:t>(Full Name of the Client’s representative)</w:t>
            </w:r>
          </w:p>
        </w:tc>
      </w:tr>
      <w:tr w:rsidR="00FE1E8A" w:rsidRPr="00952F81" w:rsidTr="00FE1E8A">
        <w:tc>
          <w:tcPr>
            <w:tcW w:w="10214" w:type="dxa"/>
            <w:gridSpan w:val="3"/>
          </w:tcPr>
          <w:p w:rsidR="00FE1E8A" w:rsidDel="00FE1E8A" w:rsidRDefault="00FE1E8A" w:rsidP="00470D90">
            <w:pPr>
              <w:spacing w:before="240"/>
              <w:rPr>
                <w:rFonts w:cs="Arial"/>
                <w:sz w:val="20"/>
                <w:szCs w:val="20"/>
              </w:rPr>
            </w:pPr>
            <w:r>
              <w:rPr>
                <w:sz w:val="20"/>
                <w:szCs w:val="20"/>
                <w:lang w:bidi="en-US"/>
              </w:rPr>
              <w:t>acting under _________________________________________________________________</w:t>
            </w:r>
          </w:p>
        </w:tc>
      </w:tr>
      <w:tr w:rsidR="00FE1E8A" w:rsidRPr="00952F81" w:rsidTr="00FE1E8A">
        <w:tc>
          <w:tcPr>
            <w:tcW w:w="10214" w:type="dxa"/>
            <w:gridSpan w:val="3"/>
          </w:tcPr>
          <w:p w:rsidR="00FE1E8A" w:rsidRPr="00470D90" w:rsidDel="00FE1E8A" w:rsidRDefault="00FE1E8A" w:rsidP="00EC2941">
            <w:pPr>
              <w:rPr>
                <w:rFonts w:cs="Arial"/>
                <w:i/>
                <w:sz w:val="16"/>
                <w:szCs w:val="16"/>
              </w:rPr>
            </w:pPr>
            <w:r w:rsidRPr="00470D90">
              <w:rPr>
                <w:i/>
                <w:sz w:val="16"/>
                <w:szCs w:val="16"/>
                <w:lang w:bidi="en-US"/>
              </w:rPr>
              <w:t>(details of the document under which the Client’s representative is acting)</w:t>
            </w:r>
          </w:p>
        </w:tc>
      </w:tr>
      <w:tr w:rsidR="001468A2" w:rsidRPr="00952F81" w:rsidTr="00470D90">
        <w:tc>
          <w:tcPr>
            <w:tcW w:w="10214" w:type="dxa"/>
            <w:gridSpan w:val="3"/>
          </w:tcPr>
          <w:p w:rsidR="00EC2941" w:rsidRDefault="00EC2941" w:rsidP="00470D90">
            <w:pPr>
              <w:spacing w:before="240"/>
              <w:rPr>
                <w:rFonts w:cs="Arial"/>
                <w:sz w:val="20"/>
                <w:szCs w:val="20"/>
              </w:rPr>
            </w:pPr>
            <w:r w:rsidRPr="00952F81">
              <w:rPr>
                <w:sz w:val="20"/>
                <w:szCs w:val="20"/>
                <w:lang w:bidi="en-US"/>
              </w:rPr>
              <w:t>Registration code of the Client who is INVESTOR: ____________________________</w:t>
            </w:r>
          </w:p>
          <w:p w:rsidR="00C14CED" w:rsidRDefault="00FE1E8A" w:rsidP="00164312">
            <w:pPr>
              <w:jc w:val="left"/>
              <w:rPr>
                <w:sz w:val="20"/>
                <w:szCs w:val="20"/>
                <w:lang w:bidi="en-US"/>
              </w:rPr>
            </w:pPr>
            <w:r>
              <w:rPr>
                <w:sz w:val="20"/>
                <w:szCs w:val="20"/>
                <w:lang w:bidi="en-US"/>
              </w:rPr>
              <w:t xml:space="preserve">Client’s </w:t>
            </w:r>
            <w:r w:rsidR="00E54B69">
              <w:rPr>
                <w:sz w:val="20"/>
                <w:szCs w:val="20"/>
                <w:lang w:bidi="en-US"/>
              </w:rPr>
              <w:t xml:space="preserve">custody </w:t>
            </w:r>
            <w:r>
              <w:rPr>
                <w:sz w:val="20"/>
                <w:szCs w:val="20"/>
                <w:lang w:bidi="en-US"/>
              </w:rPr>
              <w:t xml:space="preserve">account number (if known): _____ </w:t>
            </w:r>
          </w:p>
          <w:p w:rsidR="005E3784" w:rsidRDefault="005E3784" w:rsidP="00164312">
            <w:pPr>
              <w:jc w:val="left"/>
              <w:rPr>
                <w:rFonts w:cs="Arial"/>
                <w:sz w:val="20"/>
                <w:szCs w:val="20"/>
              </w:rPr>
            </w:pPr>
          </w:p>
          <w:p w:rsidR="001468A2" w:rsidRPr="00952F81" w:rsidRDefault="008F3CF2" w:rsidP="00E54B69">
            <w:pPr>
              <w:rPr>
                <w:rFonts w:cs="Arial"/>
                <w:sz w:val="20"/>
                <w:szCs w:val="20"/>
              </w:rPr>
            </w:pPr>
            <w:r>
              <w:rPr>
                <w:sz w:val="20"/>
                <w:szCs w:val="20"/>
                <w:lang w:bidi="en-US"/>
              </w:rPr>
              <w:t xml:space="preserve">confirms the choice of the following terms for brokerage and </w:t>
            </w:r>
            <w:r w:rsidR="00E54B69">
              <w:rPr>
                <w:sz w:val="20"/>
                <w:szCs w:val="20"/>
                <w:lang w:bidi="en-US"/>
              </w:rPr>
              <w:t>c</w:t>
            </w:r>
            <w:r w:rsidR="000B1511">
              <w:rPr>
                <w:sz w:val="20"/>
                <w:szCs w:val="20"/>
                <w:lang w:bidi="en-US"/>
              </w:rPr>
              <w:t xml:space="preserve">ustody </w:t>
            </w:r>
            <w:r>
              <w:rPr>
                <w:sz w:val="20"/>
                <w:szCs w:val="20"/>
                <w:lang w:bidi="en-US"/>
              </w:rPr>
              <w:t>services</w:t>
            </w:r>
            <w:r w:rsidR="00DD66E0">
              <w:rPr>
                <w:sz w:val="20"/>
                <w:szCs w:val="20"/>
                <w:lang w:bidi="en-US"/>
              </w:rPr>
              <w:t xml:space="preserve"> in PJSC ROSBANK (further – the Bank)</w:t>
            </w:r>
            <w:r>
              <w:rPr>
                <w:sz w:val="20"/>
                <w:szCs w:val="20"/>
                <w:lang w:bidi="en-US"/>
              </w:rPr>
              <w:t>:</w:t>
            </w:r>
          </w:p>
        </w:tc>
      </w:tr>
      <w:tr w:rsidR="001468A2" w:rsidRPr="00952F81" w:rsidTr="00D05333">
        <w:tc>
          <w:tcPr>
            <w:tcW w:w="10214" w:type="dxa"/>
            <w:gridSpan w:val="3"/>
            <w:tcBorders>
              <w:bottom w:val="single" w:sz="4" w:space="0" w:color="auto"/>
            </w:tcBorders>
          </w:tcPr>
          <w:p w:rsidR="001468A2" w:rsidRPr="00952F81" w:rsidRDefault="001468A2" w:rsidP="00A33D00">
            <w:pPr>
              <w:rPr>
                <w:sz w:val="20"/>
                <w:szCs w:val="20"/>
              </w:rPr>
            </w:pPr>
          </w:p>
        </w:tc>
      </w:tr>
      <w:tr w:rsidR="001468A2" w:rsidRPr="00952F81" w:rsidTr="00D05333">
        <w:tc>
          <w:tcPr>
            <w:tcW w:w="10214" w:type="dxa"/>
            <w:gridSpan w:val="3"/>
            <w:tcBorders>
              <w:top w:val="single" w:sz="4" w:space="0" w:color="auto"/>
            </w:tcBorders>
          </w:tcPr>
          <w:p w:rsidR="006E72AA" w:rsidRPr="00952F81" w:rsidRDefault="0004361E" w:rsidP="000B1511">
            <w:pPr>
              <w:spacing w:after="120"/>
              <w:rPr>
                <w:rFonts w:cs="Arial"/>
                <w:b/>
                <w:sz w:val="20"/>
                <w:szCs w:val="20"/>
                <w:u w:val="single"/>
              </w:rPr>
            </w:pPr>
            <w:r w:rsidRPr="00952F81">
              <w:rPr>
                <w:b/>
                <w:sz w:val="20"/>
                <w:szCs w:val="20"/>
                <w:u w:val="single"/>
                <w:lang w:bidi="en-US"/>
              </w:rPr>
              <w:t xml:space="preserve">Conducting operations in the following markets and trading systems, opening brokerage accounts, </w:t>
            </w:r>
            <w:r w:rsidR="000B1511">
              <w:rPr>
                <w:b/>
                <w:sz w:val="20"/>
                <w:szCs w:val="20"/>
                <w:u w:val="single"/>
                <w:lang w:bidi="en-US"/>
              </w:rPr>
              <w:t>custody</w:t>
            </w:r>
            <w:r w:rsidR="000B1511" w:rsidRPr="00952F81">
              <w:rPr>
                <w:b/>
                <w:sz w:val="20"/>
                <w:szCs w:val="20"/>
                <w:u w:val="single"/>
                <w:lang w:bidi="en-US"/>
              </w:rPr>
              <w:t xml:space="preserve"> </w:t>
            </w:r>
            <w:r w:rsidRPr="00952F81">
              <w:rPr>
                <w:b/>
                <w:sz w:val="20"/>
                <w:szCs w:val="20"/>
                <w:u w:val="single"/>
                <w:lang w:bidi="en-US"/>
              </w:rPr>
              <w:t xml:space="preserve">account and </w:t>
            </w:r>
            <w:r w:rsidR="000B1511">
              <w:rPr>
                <w:b/>
                <w:sz w:val="20"/>
                <w:szCs w:val="20"/>
                <w:u w:val="single"/>
                <w:lang w:bidi="en-US"/>
              </w:rPr>
              <w:t>sub-accounts</w:t>
            </w:r>
            <w:r w:rsidR="000B1511" w:rsidRPr="00952F81">
              <w:rPr>
                <w:b/>
                <w:sz w:val="20"/>
                <w:szCs w:val="20"/>
                <w:u w:val="single"/>
                <w:lang w:bidi="en-US"/>
              </w:rPr>
              <w:t xml:space="preserve"> </w:t>
            </w:r>
            <w:r w:rsidRPr="00952F81">
              <w:rPr>
                <w:b/>
                <w:sz w:val="20"/>
                <w:szCs w:val="20"/>
                <w:u w:val="single"/>
                <w:lang w:bidi="en-US"/>
              </w:rPr>
              <w:t xml:space="preserve">of the </w:t>
            </w:r>
            <w:r w:rsidR="000B1511">
              <w:rPr>
                <w:b/>
                <w:sz w:val="20"/>
                <w:szCs w:val="20"/>
                <w:u w:val="single"/>
                <w:lang w:bidi="en-US"/>
              </w:rPr>
              <w:t>custody</w:t>
            </w:r>
            <w:r w:rsidR="000B1511" w:rsidRPr="00952F81">
              <w:rPr>
                <w:b/>
                <w:sz w:val="20"/>
                <w:szCs w:val="20"/>
                <w:u w:val="single"/>
                <w:lang w:bidi="en-US"/>
              </w:rPr>
              <w:t xml:space="preserve"> </w:t>
            </w:r>
            <w:r w:rsidRPr="00952F81">
              <w:rPr>
                <w:b/>
                <w:sz w:val="20"/>
                <w:szCs w:val="20"/>
                <w:u w:val="single"/>
                <w:lang w:bidi="en-US"/>
              </w:rPr>
              <w:t>account:</w:t>
            </w:r>
          </w:p>
        </w:tc>
      </w:tr>
      <w:tr w:rsidR="00FE1E8A" w:rsidRPr="00FE1E8A" w:rsidTr="0099211E">
        <w:tc>
          <w:tcPr>
            <w:tcW w:w="5107" w:type="dxa"/>
          </w:tcPr>
          <w:p w:rsidR="00FE1E8A" w:rsidRPr="00581412" w:rsidRDefault="00FE1E8A" w:rsidP="00470D90">
            <w:pPr>
              <w:spacing w:after="60"/>
              <w:rPr>
                <w:rFonts w:cs="Arial"/>
                <w:sz w:val="20"/>
                <w:szCs w:val="20"/>
              </w:rPr>
            </w:pPr>
            <w:r w:rsidRPr="006F39D9">
              <w:rPr>
                <w:rFonts w:cs="Arial"/>
                <w:sz w:val="20"/>
                <w:szCs w:val="20"/>
                <w:lang w:bidi="en-US"/>
              </w:rPr>
              <w:fldChar w:fldCharType="begin">
                <w:ffData>
                  <w:name w:val="Флажок2"/>
                  <w:enabled/>
                  <w:calcOnExit w:val="0"/>
                  <w:checkBox>
                    <w:sizeAuto/>
                    <w:default w:val="0"/>
                  </w:checkBox>
                </w:ffData>
              </w:fldChar>
            </w:r>
            <w:r w:rsidRPr="00581412">
              <w:rPr>
                <w:rFonts w:cs="Arial"/>
                <w:sz w:val="20"/>
                <w:szCs w:val="20"/>
                <w:lang w:bidi="en-US"/>
              </w:rPr>
              <w:instrText xml:space="preserve"> FORMCHECKBOX </w:instrText>
            </w:r>
            <w:r w:rsidR="005B5E60" w:rsidRPr="005B5E60">
              <w:rPr>
                <w:rFonts w:cs="Arial"/>
                <w:sz w:val="20"/>
                <w:szCs w:val="20"/>
                <w:lang w:bidi="en-US"/>
              </w:rPr>
            </w:r>
            <w:r w:rsidR="005B5E60" w:rsidRPr="005B5E60">
              <w:rPr>
                <w:rFonts w:cs="Arial"/>
                <w:sz w:val="20"/>
                <w:szCs w:val="20"/>
                <w:lang w:bidi="en-US"/>
              </w:rPr>
              <w:fldChar w:fldCharType="separate"/>
            </w:r>
            <w:r w:rsidRPr="005B5E60">
              <w:rPr>
                <w:rFonts w:cs="Arial"/>
                <w:sz w:val="20"/>
                <w:szCs w:val="20"/>
                <w:lang w:bidi="en-US"/>
              </w:rPr>
              <w:fldChar w:fldCharType="end"/>
            </w:r>
            <w:r w:rsidR="00F15696" w:rsidRPr="00581412">
              <w:rPr>
                <w:rFonts w:cs="Arial"/>
                <w:sz w:val="20"/>
                <w:szCs w:val="20"/>
                <w:lang w:bidi="en-US"/>
              </w:rPr>
              <w:t xml:space="preserve"> </w:t>
            </w:r>
            <w:r w:rsidR="005765AC" w:rsidRPr="00581412">
              <w:rPr>
                <w:rFonts w:cs="Arial"/>
                <w:sz w:val="20"/>
                <w:szCs w:val="20"/>
                <w:lang w:bidi="en-US"/>
              </w:rPr>
              <w:t>Entering into Transactions</w:t>
            </w:r>
            <w:r w:rsidRPr="00581412">
              <w:rPr>
                <w:rFonts w:cs="Arial"/>
                <w:sz w:val="20"/>
                <w:szCs w:val="20"/>
                <w:lang w:bidi="en-US"/>
              </w:rPr>
              <w:t xml:space="preserve"> </w:t>
            </w:r>
            <w:r w:rsidR="005765AC" w:rsidRPr="00581412">
              <w:rPr>
                <w:rFonts w:cs="Arial"/>
                <w:sz w:val="20"/>
                <w:szCs w:val="20"/>
                <w:lang w:bidi="en-US"/>
              </w:rPr>
              <w:t>on stock market of Moscow Exchange</w:t>
            </w:r>
          </w:p>
          <w:p w:rsidR="00FE1E8A" w:rsidRPr="00581412" w:rsidRDefault="00FE1E8A" w:rsidP="00470D90">
            <w:pPr>
              <w:pStyle w:val="Default"/>
              <w:spacing w:after="60"/>
              <w:rPr>
                <w:rFonts w:ascii="Arial" w:hAnsi="Arial" w:cs="Arial"/>
                <w:color w:val="auto"/>
                <w:sz w:val="20"/>
                <w:szCs w:val="20"/>
                <w:lang w:bidi="en-US"/>
              </w:rPr>
            </w:pPr>
            <w:r w:rsidRPr="006F39D9">
              <w:rPr>
                <w:rFonts w:ascii="Arial" w:hAnsi="Arial" w:cs="Arial"/>
                <w:sz w:val="20"/>
                <w:szCs w:val="20"/>
                <w:lang w:bidi="en-US"/>
              </w:rPr>
              <w:fldChar w:fldCharType="begin">
                <w:ffData>
                  <w:name w:val="Флажок2"/>
                  <w:enabled/>
                  <w:calcOnExit w:val="0"/>
                  <w:checkBox>
                    <w:sizeAuto/>
                    <w:default w:val="0"/>
                  </w:checkBox>
                </w:ffData>
              </w:fldChar>
            </w:r>
            <w:r w:rsidRPr="00581412">
              <w:rPr>
                <w:rFonts w:ascii="Arial" w:hAnsi="Arial" w:cs="Arial"/>
                <w:sz w:val="20"/>
                <w:szCs w:val="20"/>
                <w:lang w:bidi="en-US"/>
              </w:rPr>
              <w:instrText xml:space="preserve"> FORMCHECKBOX </w:instrText>
            </w:r>
            <w:r w:rsidR="005B5E60" w:rsidRPr="005B5E60">
              <w:rPr>
                <w:rFonts w:ascii="Arial" w:hAnsi="Arial" w:cs="Arial"/>
                <w:sz w:val="20"/>
                <w:szCs w:val="20"/>
                <w:lang w:bidi="en-US"/>
              </w:rPr>
            </w:r>
            <w:r w:rsidR="005B5E60" w:rsidRPr="005B5E60">
              <w:rPr>
                <w:rFonts w:ascii="Arial" w:hAnsi="Arial" w:cs="Arial"/>
                <w:sz w:val="20"/>
                <w:szCs w:val="20"/>
                <w:lang w:bidi="en-US"/>
              </w:rPr>
              <w:fldChar w:fldCharType="separate"/>
            </w:r>
            <w:r w:rsidRPr="005B5E60">
              <w:rPr>
                <w:rFonts w:ascii="Arial" w:hAnsi="Arial" w:cs="Arial"/>
                <w:sz w:val="20"/>
                <w:szCs w:val="20"/>
                <w:lang w:bidi="en-US"/>
              </w:rPr>
              <w:fldChar w:fldCharType="end"/>
            </w:r>
            <w:r w:rsidR="00F15696" w:rsidRPr="00581412">
              <w:rPr>
                <w:rFonts w:ascii="Arial" w:hAnsi="Arial" w:cs="Arial"/>
                <w:color w:val="auto"/>
                <w:sz w:val="20"/>
                <w:szCs w:val="20"/>
                <w:lang w:bidi="en-US"/>
              </w:rPr>
              <w:t xml:space="preserve"> </w:t>
            </w:r>
            <w:r w:rsidR="005765AC" w:rsidRPr="005B5E60">
              <w:rPr>
                <w:rFonts w:ascii="Arial" w:hAnsi="Arial" w:cs="Arial"/>
                <w:color w:val="auto"/>
                <w:sz w:val="20"/>
                <w:szCs w:val="20"/>
                <w:lang w:eastAsia="en-US" w:bidi="en-US"/>
              </w:rPr>
              <w:t xml:space="preserve">Entering into </w:t>
            </w:r>
            <w:r w:rsidRPr="00581412">
              <w:rPr>
                <w:rFonts w:ascii="Arial" w:hAnsi="Arial" w:cs="Arial"/>
                <w:color w:val="auto"/>
                <w:sz w:val="20"/>
                <w:szCs w:val="20"/>
                <w:lang w:eastAsia="en-US" w:bidi="en-US"/>
              </w:rPr>
              <w:t>REPO transactions with the Central counterparty</w:t>
            </w:r>
            <w:r w:rsidRPr="005B5E60">
              <w:rPr>
                <w:rFonts w:ascii="Arial" w:hAnsi="Arial" w:cs="Arial"/>
                <w:color w:val="auto"/>
                <w:sz w:val="20"/>
                <w:szCs w:val="20"/>
                <w:vertAlign w:val="superscript"/>
                <w:lang w:eastAsia="en-US" w:bidi="en-US"/>
              </w:rPr>
              <w:footnoteReference w:id="1"/>
            </w:r>
            <w:r w:rsidR="00F15696" w:rsidRPr="005B5E60">
              <w:rPr>
                <w:rFonts w:ascii="Arial" w:hAnsi="Arial" w:cs="Arial"/>
                <w:color w:val="auto"/>
                <w:sz w:val="20"/>
                <w:szCs w:val="20"/>
                <w:lang w:eastAsia="en-US" w:bidi="en-US"/>
              </w:rPr>
              <w:t xml:space="preserve"> </w:t>
            </w:r>
            <w:r w:rsidR="005765AC" w:rsidRPr="00581412">
              <w:rPr>
                <w:rFonts w:ascii="Arial" w:hAnsi="Arial" w:cs="Arial"/>
                <w:color w:val="auto"/>
                <w:sz w:val="20"/>
                <w:szCs w:val="20"/>
                <w:lang w:eastAsia="en-US" w:bidi="en-US"/>
              </w:rPr>
              <w:t xml:space="preserve">on the Moscow Exchange ( </w:t>
            </w:r>
            <w:r w:rsidR="006F39D9">
              <w:rPr>
                <w:rFonts w:ascii="Arial" w:hAnsi="Arial" w:cs="Arial"/>
                <w:color w:val="auto"/>
                <w:sz w:val="20"/>
                <w:szCs w:val="20"/>
                <w:lang w:eastAsia="en-US" w:bidi="en-US"/>
              </w:rPr>
              <w:t>tariffs</w:t>
            </w:r>
            <w:r w:rsidR="006F39D9" w:rsidRPr="00581412">
              <w:rPr>
                <w:rFonts w:ascii="Arial" w:hAnsi="Arial" w:cs="Arial"/>
                <w:color w:val="auto"/>
                <w:sz w:val="20"/>
                <w:szCs w:val="20"/>
                <w:lang w:eastAsia="en-US" w:bidi="en-US"/>
              </w:rPr>
              <w:t xml:space="preserve"> </w:t>
            </w:r>
            <w:r w:rsidR="006F39D9">
              <w:rPr>
                <w:rFonts w:ascii="Arial" w:hAnsi="Arial" w:cs="Arial"/>
                <w:color w:val="auto"/>
                <w:sz w:val="20"/>
                <w:szCs w:val="20"/>
                <w:lang w:eastAsia="en-US" w:bidi="en-US"/>
              </w:rPr>
              <w:t xml:space="preserve">are only </w:t>
            </w:r>
            <w:r w:rsidRPr="00581412">
              <w:rPr>
                <w:rFonts w:ascii="Arial" w:hAnsi="Arial" w:cs="Arial"/>
                <w:color w:val="auto"/>
                <w:sz w:val="20"/>
                <w:szCs w:val="20"/>
                <w:lang w:eastAsia="en-US" w:bidi="en-US"/>
              </w:rPr>
              <w:t xml:space="preserve">for </w:t>
            </w:r>
            <w:r w:rsidR="006F39D9">
              <w:rPr>
                <w:rFonts w:ascii="Arial" w:hAnsi="Arial" w:cs="Arial"/>
                <w:color w:val="auto"/>
                <w:sz w:val="20"/>
                <w:szCs w:val="20"/>
                <w:lang w:eastAsia="en-US" w:bidi="en-US"/>
              </w:rPr>
              <w:t>legal entities</w:t>
            </w:r>
            <w:r w:rsidRPr="00581412">
              <w:rPr>
                <w:rFonts w:ascii="Arial" w:hAnsi="Arial" w:cs="Arial"/>
                <w:color w:val="auto"/>
                <w:sz w:val="20"/>
                <w:szCs w:val="20"/>
                <w:lang w:eastAsia="en-US" w:bidi="en-US"/>
              </w:rPr>
              <w:t>)</w:t>
            </w:r>
            <w:r w:rsidR="005765AC" w:rsidRPr="00581412">
              <w:rPr>
                <w:rFonts w:ascii="Arial" w:hAnsi="Arial" w:cs="Arial"/>
                <w:color w:val="auto"/>
                <w:sz w:val="20"/>
                <w:szCs w:val="20"/>
                <w:lang w:bidi="en-US"/>
              </w:rPr>
              <w:t xml:space="preserve"> </w:t>
            </w:r>
          </w:p>
          <w:p w:rsidR="005765AC" w:rsidRPr="00581412" w:rsidRDefault="005765AC" w:rsidP="00470D90">
            <w:pPr>
              <w:pStyle w:val="Default"/>
              <w:spacing w:after="60"/>
              <w:rPr>
                <w:rFonts w:ascii="Arial" w:hAnsi="Arial" w:cs="Arial"/>
                <w:color w:val="auto"/>
                <w:sz w:val="20"/>
                <w:szCs w:val="20"/>
                <w:lang w:bidi="en-US"/>
              </w:rPr>
            </w:pPr>
          </w:p>
          <w:p w:rsidR="005765AC" w:rsidRPr="00581412" w:rsidRDefault="005765AC" w:rsidP="00470D90">
            <w:pPr>
              <w:pStyle w:val="Default"/>
              <w:spacing w:after="60"/>
              <w:rPr>
                <w:rFonts w:ascii="Arial" w:hAnsi="Arial" w:cs="Arial"/>
                <w:bCs/>
                <w:sz w:val="20"/>
                <w:szCs w:val="20"/>
              </w:rPr>
            </w:pPr>
          </w:p>
          <w:p w:rsidR="00FE1E8A" w:rsidRPr="005B5E60" w:rsidRDefault="00FE1E8A" w:rsidP="00470D90">
            <w:pPr>
              <w:pStyle w:val="Default"/>
              <w:spacing w:after="60"/>
              <w:rPr>
                <w:rFonts w:ascii="Arial" w:hAnsi="Arial" w:cs="Arial"/>
                <w:bCs/>
                <w:sz w:val="20"/>
                <w:szCs w:val="20"/>
              </w:rPr>
            </w:pPr>
          </w:p>
        </w:tc>
        <w:tc>
          <w:tcPr>
            <w:tcW w:w="5107" w:type="dxa"/>
            <w:gridSpan w:val="2"/>
          </w:tcPr>
          <w:p w:rsidR="00FE1E8A" w:rsidRPr="00581412" w:rsidRDefault="00FE1E8A" w:rsidP="00FE1E8A">
            <w:pPr>
              <w:rPr>
                <w:rFonts w:cs="Arial"/>
                <w:color w:val="000000"/>
                <w:sz w:val="20"/>
                <w:szCs w:val="20"/>
              </w:rPr>
            </w:pPr>
            <w:r w:rsidRPr="006F39D9">
              <w:rPr>
                <w:rFonts w:cs="Arial"/>
                <w:sz w:val="20"/>
                <w:szCs w:val="20"/>
                <w:lang w:bidi="en-US"/>
              </w:rPr>
              <w:fldChar w:fldCharType="begin">
                <w:ffData>
                  <w:name w:val="Флажок2"/>
                  <w:enabled/>
                  <w:calcOnExit w:val="0"/>
                  <w:checkBox>
                    <w:sizeAuto/>
                    <w:default w:val="0"/>
                  </w:checkBox>
                </w:ffData>
              </w:fldChar>
            </w:r>
            <w:r w:rsidRPr="005B5E60">
              <w:rPr>
                <w:rFonts w:cs="Arial"/>
                <w:sz w:val="20"/>
                <w:szCs w:val="20"/>
                <w:lang w:bidi="en-US"/>
              </w:rPr>
              <w:instrText xml:space="preserve"> FORMCHECKBOX </w:instrText>
            </w:r>
            <w:r w:rsidR="005B5E60" w:rsidRPr="005B5E60">
              <w:rPr>
                <w:rFonts w:cs="Arial"/>
                <w:sz w:val="20"/>
                <w:szCs w:val="20"/>
                <w:lang w:bidi="en-US"/>
              </w:rPr>
            </w:r>
            <w:r w:rsidR="005B5E60" w:rsidRPr="005B5E60">
              <w:rPr>
                <w:rFonts w:cs="Arial"/>
                <w:sz w:val="20"/>
                <w:szCs w:val="20"/>
                <w:lang w:bidi="en-US"/>
              </w:rPr>
              <w:fldChar w:fldCharType="separate"/>
            </w:r>
            <w:r w:rsidRPr="005B5E60">
              <w:rPr>
                <w:rFonts w:cs="Arial"/>
                <w:sz w:val="20"/>
                <w:szCs w:val="20"/>
                <w:lang w:bidi="en-US"/>
              </w:rPr>
              <w:fldChar w:fldCharType="end"/>
            </w:r>
            <w:r w:rsidRPr="006F39D9">
              <w:rPr>
                <w:rFonts w:cs="Arial"/>
                <w:sz w:val="20"/>
                <w:szCs w:val="20"/>
                <w:lang w:bidi="en-US"/>
              </w:rPr>
              <w:t xml:space="preserve"> Open a trading </w:t>
            </w:r>
            <w:r w:rsidR="00C53D4A" w:rsidRPr="006F39D9">
              <w:rPr>
                <w:rFonts w:cs="Arial"/>
                <w:sz w:val="20"/>
                <w:szCs w:val="20"/>
                <w:lang w:bidi="en-US"/>
              </w:rPr>
              <w:t xml:space="preserve">custody </w:t>
            </w:r>
            <w:r w:rsidRPr="006F39D9">
              <w:rPr>
                <w:rFonts w:cs="Arial"/>
                <w:sz w:val="20"/>
                <w:szCs w:val="20"/>
                <w:lang w:bidi="en-US"/>
              </w:rPr>
              <w:t xml:space="preserve">account (NCC) of the </w:t>
            </w:r>
            <w:r w:rsidRPr="006F39D9">
              <w:rPr>
                <w:rFonts w:cs="Arial"/>
                <w:color w:val="4F81BD" w:themeColor="accent1"/>
                <w:sz w:val="20"/>
                <w:szCs w:val="20"/>
                <w:lang w:bidi="en-US"/>
              </w:rPr>
              <w:t xml:space="preserve">&lt;owner / </w:t>
            </w:r>
            <w:r w:rsidR="00F15696" w:rsidRPr="006F39D9">
              <w:rPr>
                <w:rFonts w:cs="Arial"/>
                <w:color w:val="4F81BD" w:themeColor="accent1"/>
                <w:sz w:val="20"/>
                <w:szCs w:val="20"/>
                <w:lang w:bidi="en-US"/>
              </w:rPr>
              <w:t xml:space="preserve">asset manager </w:t>
            </w:r>
            <w:r w:rsidRPr="006F39D9">
              <w:rPr>
                <w:rFonts w:cs="Arial"/>
                <w:color w:val="4F81BD" w:themeColor="accent1"/>
                <w:sz w:val="20"/>
                <w:szCs w:val="20"/>
                <w:lang w:bidi="en-US"/>
              </w:rPr>
              <w:t>/ nominee holder / foreign authorized holder / foreign nominee holder&gt; (choose corresponding item)</w:t>
            </w:r>
            <w:r w:rsidRPr="006F39D9">
              <w:rPr>
                <w:rFonts w:cs="Arial"/>
                <w:sz w:val="20"/>
                <w:szCs w:val="20"/>
                <w:lang w:bidi="en-US"/>
              </w:rPr>
              <w:t xml:space="preserve"> and its brokerage </w:t>
            </w:r>
            <w:r w:rsidR="00C53D4A" w:rsidRPr="006F39D9">
              <w:rPr>
                <w:rFonts w:cs="Arial"/>
                <w:sz w:val="20"/>
                <w:szCs w:val="20"/>
                <w:lang w:bidi="en-US"/>
              </w:rPr>
              <w:t xml:space="preserve">sub-account </w:t>
            </w:r>
            <w:r w:rsidRPr="006F39D9">
              <w:rPr>
                <w:rFonts w:cs="Arial"/>
                <w:sz w:val="20"/>
                <w:szCs w:val="20"/>
                <w:lang w:bidi="en-US"/>
              </w:rPr>
              <w:t xml:space="preserve">(NCC) designed to register brokerage operations with non-government and government securities </w:t>
            </w:r>
            <w:r w:rsidR="00E54B69" w:rsidRPr="005B5E60">
              <w:rPr>
                <w:rFonts w:cs="Arial"/>
                <w:sz w:val="20"/>
                <w:szCs w:val="20"/>
                <w:lang w:bidi="en-US"/>
              </w:rPr>
              <w:t>o</w:t>
            </w:r>
            <w:r w:rsidRPr="005B5E60">
              <w:rPr>
                <w:rFonts w:cs="Arial"/>
                <w:sz w:val="20"/>
                <w:szCs w:val="20"/>
                <w:lang w:bidi="en-US"/>
              </w:rPr>
              <w:t>n the Moscow Stock Exchange (RT-NCC).</w:t>
            </w:r>
          </w:p>
          <w:p w:rsidR="00FE1E8A" w:rsidRPr="00581412" w:rsidRDefault="00FE1E8A" w:rsidP="00E54B69">
            <w:pPr>
              <w:rPr>
                <w:rFonts w:cs="Arial"/>
                <w:i/>
                <w:color w:val="000000"/>
                <w:sz w:val="20"/>
                <w:szCs w:val="20"/>
              </w:rPr>
            </w:pPr>
            <w:r w:rsidRPr="006F39D9">
              <w:rPr>
                <w:rFonts w:cs="Arial"/>
                <w:sz w:val="20"/>
                <w:szCs w:val="20"/>
                <w:lang w:bidi="en-US"/>
              </w:rPr>
              <w:t xml:space="preserve">When registering </w:t>
            </w:r>
            <w:r w:rsidR="00E54B69" w:rsidRPr="006F39D9">
              <w:rPr>
                <w:rFonts w:cs="Arial"/>
                <w:sz w:val="20"/>
                <w:szCs w:val="20"/>
                <w:lang w:bidi="en-US"/>
              </w:rPr>
              <w:t xml:space="preserve">on-exchange </w:t>
            </w:r>
            <w:r w:rsidRPr="006F39D9">
              <w:rPr>
                <w:rFonts w:cs="Arial"/>
                <w:sz w:val="20"/>
                <w:szCs w:val="20"/>
                <w:lang w:bidi="en-US"/>
              </w:rPr>
              <w:t xml:space="preserve">brokerage operations for each trading day, please write off/credit securities from/to the </w:t>
            </w:r>
            <w:r w:rsidR="00DD66E0" w:rsidRPr="006F39D9">
              <w:rPr>
                <w:rFonts w:cs="Arial"/>
                <w:sz w:val="20"/>
                <w:szCs w:val="20"/>
                <w:lang w:bidi="en-US"/>
              </w:rPr>
              <w:t xml:space="preserve">brokerage </w:t>
            </w:r>
            <w:r w:rsidR="00C53D4A" w:rsidRPr="006F39D9">
              <w:rPr>
                <w:rFonts w:cs="Arial"/>
                <w:sz w:val="20"/>
                <w:szCs w:val="20"/>
                <w:lang w:bidi="en-US"/>
              </w:rPr>
              <w:t xml:space="preserve">sub-account </w:t>
            </w:r>
            <w:r w:rsidRPr="006F39D9">
              <w:rPr>
                <w:rFonts w:cs="Arial"/>
                <w:sz w:val="20"/>
                <w:szCs w:val="20"/>
                <w:lang w:bidi="en-US"/>
              </w:rPr>
              <w:t xml:space="preserve">(NCC) </w:t>
            </w:r>
            <w:r w:rsidRPr="006F39D9">
              <w:rPr>
                <w:rFonts w:cs="Arial"/>
                <w:i/>
                <w:sz w:val="20"/>
                <w:szCs w:val="20"/>
                <w:lang w:bidi="en-US"/>
              </w:rPr>
              <w:t xml:space="preserve">(choose one): </w:t>
            </w:r>
          </w:p>
        </w:tc>
      </w:tr>
      <w:tr w:rsidR="00FE1E8A" w:rsidRPr="00952F81" w:rsidTr="0099211E">
        <w:tc>
          <w:tcPr>
            <w:tcW w:w="5107" w:type="dxa"/>
          </w:tcPr>
          <w:p w:rsidR="005765AC" w:rsidRPr="00581412" w:rsidRDefault="005765AC" w:rsidP="005765AC">
            <w:pPr>
              <w:spacing w:after="60"/>
              <w:rPr>
                <w:rFonts w:cs="Arial"/>
                <w:sz w:val="20"/>
                <w:szCs w:val="20"/>
              </w:rPr>
            </w:pPr>
            <w:r w:rsidRPr="006F39D9">
              <w:rPr>
                <w:rFonts w:cs="Arial"/>
                <w:sz w:val="20"/>
                <w:szCs w:val="20"/>
                <w:lang w:bidi="en-US"/>
              </w:rPr>
              <w:fldChar w:fldCharType="begin">
                <w:ffData>
                  <w:name w:val="Флажок2"/>
                  <w:enabled/>
                  <w:calcOnExit w:val="0"/>
                  <w:checkBox>
                    <w:sizeAuto/>
                    <w:default w:val="0"/>
                  </w:checkBox>
                </w:ffData>
              </w:fldChar>
            </w:r>
            <w:r w:rsidRPr="00581412">
              <w:rPr>
                <w:rFonts w:cs="Arial"/>
                <w:sz w:val="20"/>
                <w:szCs w:val="20"/>
                <w:lang w:bidi="en-US"/>
              </w:rPr>
              <w:instrText xml:space="preserve"> FORMCHECKBOX </w:instrText>
            </w:r>
            <w:r w:rsidR="005B5E60" w:rsidRPr="005B5E60">
              <w:rPr>
                <w:rFonts w:cs="Arial"/>
                <w:sz w:val="20"/>
                <w:szCs w:val="20"/>
                <w:lang w:bidi="en-US"/>
              </w:rPr>
            </w:r>
            <w:r w:rsidR="005B5E60" w:rsidRPr="005B5E60">
              <w:rPr>
                <w:rFonts w:cs="Arial"/>
                <w:sz w:val="20"/>
                <w:szCs w:val="20"/>
                <w:lang w:bidi="en-US"/>
              </w:rPr>
              <w:fldChar w:fldCharType="separate"/>
            </w:r>
            <w:r w:rsidRPr="005B5E60">
              <w:rPr>
                <w:rFonts w:cs="Arial"/>
                <w:sz w:val="20"/>
                <w:szCs w:val="20"/>
                <w:lang w:bidi="en-US"/>
              </w:rPr>
              <w:fldChar w:fldCharType="end"/>
            </w:r>
            <w:r w:rsidRPr="00581412">
              <w:rPr>
                <w:rFonts w:cs="Arial"/>
                <w:sz w:val="20"/>
                <w:szCs w:val="20"/>
                <w:lang w:bidi="en-US"/>
              </w:rPr>
              <w:t xml:space="preserve"> </w:t>
            </w:r>
            <w:r w:rsidR="00581412" w:rsidRPr="00581412">
              <w:rPr>
                <w:rFonts w:cs="Arial"/>
                <w:sz w:val="20"/>
                <w:szCs w:val="20"/>
                <w:lang w:bidi="en-US"/>
              </w:rPr>
              <w:t xml:space="preserve">Entering into Transactions on derivatives </w:t>
            </w:r>
            <w:r w:rsidRPr="00581412">
              <w:rPr>
                <w:rFonts w:cs="Arial"/>
                <w:sz w:val="20"/>
                <w:szCs w:val="20"/>
              </w:rPr>
              <w:t xml:space="preserve">market of </w:t>
            </w:r>
            <w:r w:rsidR="00581412" w:rsidRPr="00581412">
              <w:rPr>
                <w:rFonts w:cs="Arial"/>
                <w:sz w:val="20"/>
                <w:szCs w:val="20"/>
              </w:rPr>
              <w:t>Moscow</w:t>
            </w:r>
            <w:r w:rsidRPr="00581412">
              <w:rPr>
                <w:rFonts w:cs="Arial"/>
                <w:sz w:val="20"/>
                <w:szCs w:val="20"/>
              </w:rPr>
              <w:t xml:space="preserve"> </w:t>
            </w:r>
            <w:r w:rsidR="00581412" w:rsidRPr="00581412">
              <w:rPr>
                <w:rFonts w:cs="Arial"/>
                <w:sz w:val="20"/>
                <w:szCs w:val="20"/>
              </w:rPr>
              <w:t xml:space="preserve">Exchange </w:t>
            </w:r>
          </w:p>
          <w:p w:rsidR="00FE1E8A" w:rsidRPr="00581412" w:rsidRDefault="005765AC" w:rsidP="005765AC">
            <w:pPr>
              <w:rPr>
                <w:rFonts w:cs="Arial"/>
                <w:sz w:val="20"/>
                <w:szCs w:val="20"/>
              </w:rPr>
            </w:pPr>
            <w:r w:rsidRPr="006F39D9">
              <w:rPr>
                <w:rFonts w:cs="Arial"/>
                <w:sz w:val="20"/>
                <w:szCs w:val="20"/>
                <w:lang w:bidi="en-US"/>
              </w:rPr>
              <w:fldChar w:fldCharType="begin">
                <w:ffData>
                  <w:name w:val="Флажок2"/>
                  <w:enabled/>
                  <w:calcOnExit w:val="0"/>
                  <w:checkBox>
                    <w:sizeAuto/>
                    <w:default w:val="0"/>
                  </w:checkBox>
                </w:ffData>
              </w:fldChar>
            </w:r>
            <w:r w:rsidRPr="00581412">
              <w:rPr>
                <w:rFonts w:cs="Arial"/>
                <w:sz w:val="20"/>
                <w:szCs w:val="20"/>
                <w:lang w:bidi="en-US"/>
              </w:rPr>
              <w:instrText xml:space="preserve"> FORMCHECKBOX </w:instrText>
            </w:r>
            <w:r w:rsidR="005B5E60" w:rsidRPr="005B5E60">
              <w:rPr>
                <w:rFonts w:cs="Arial"/>
                <w:sz w:val="20"/>
                <w:szCs w:val="20"/>
                <w:lang w:bidi="en-US"/>
              </w:rPr>
            </w:r>
            <w:r w:rsidR="005B5E60" w:rsidRPr="005B5E60">
              <w:rPr>
                <w:rFonts w:cs="Arial"/>
                <w:sz w:val="20"/>
                <w:szCs w:val="20"/>
                <w:lang w:bidi="en-US"/>
              </w:rPr>
              <w:fldChar w:fldCharType="separate"/>
            </w:r>
            <w:r w:rsidRPr="005B5E60">
              <w:rPr>
                <w:rFonts w:cs="Arial"/>
                <w:sz w:val="20"/>
                <w:szCs w:val="20"/>
                <w:lang w:bidi="en-US"/>
              </w:rPr>
              <w:fldChar w:fldCharType="end"/>
            </w:r>
            <w:r w:rsidRPr="00581412">
              <w:rPr>
                <w:rFonts w:cs="Arial"/>
                <w:sz w:val="20"/>
                <w:szCs w:val="20"/>
                <w:lang w:bidi="en-US"/>
              </w:rPr>
              <w:t xml:space="preserve"> </w:t>
            </w:r>
            <w:r w:rsidR="00581412" w:rsidRPr="00581412">
              <w:rPr>
                <w:rFonts w:cs="Arial"/>
                <w:sz w:val="20"/>
                <w:szCs w:val="20"/>
                <w:lang w:bidi="en-US"/>
              </w:rPr>
              <w:t xml:space="preserve">Entering into Transactions on </w:t>
            </w:r>
            <w:r w:rsidRPr="00581412">
              <w:rPr>
                <w:rFonts w:cs="Arial"/>
                <w:sz w:val="20"/>
                <w:szCs w:val="20"/>
                <w:lang w:bidi="en-US"/>
              </w:rPr>
              <w:t>OTC market</w:t>
            </w:r>
          </w:p>
        </w:tc>
        <w:tc>
          <w:tcPr>
            <w:tcW w:w="5107" w:type="dxa"/>
            <w:gridSpan w:val="2"/>
          </w:tcPr>
          <w:p w:rsidR="00FE1E8A" w:rsidRPr="00581412" w:rsidRDefault="00FE1E8A" w:rsidP="00470D90">
            <w:pPr>
              <w:spacing w:after="60"/>
              <w:ind w:left="709"/>
              <w:rPr>
                <w:rFonts w:cs="Arial"/>
                <w:sz w:val="20"/>
                <w:szCs w:val="20"/>
              </w:rPr>
            </w:pPr>
            <w:r w:rsidRPr="006F39D9">
              <w:rPr>
                <w:rFonts w:cs="Arial"/>
                <w:sz w:val="20"/>
                <w:szCs w:val="20"/>
                <w:lang w:bidi="en-US"/>
              </w:rPr>
              <w:fldChar w:fldCharType="begin">
                <w:ffData>
                  <w:name w:val="Флажок2"/>
                  <w:enabled/>
                  <w:calcOnExit w:val="0"/>
                  <w:checkBox>
                    <w:sizeAuto/>
                    <w:default w:val="0"/>
                  </w:checkBox>
                </w:ffData>
              </w:fldChar>
            </w:r>
            <w:r w:rsidRPr="005B5E60">
              <w:rPr>
                <w:rFonts w:cs="Arial"/>
                <w:sz w:val="20"/>
                <w:szCs w:val="20"/>
                <w:lang w:bidi="en-US"/>
              </w:rPr>
              <w:instrText xml:space="preserve"> FORMCHECKBOX </w:instrText>
            </w:r>
            <w:r w:rsidR="005B5E60" w:rsidRPr="005B5E60">
              <w:rPr>
                <w:rFonts w:cs="Arial"/>
                <w:sz w:val="20"/>
                <w:szCs w:val="20"/>
                <w:lang w:bidi="en-US"/>
              </w:rPr>
            </w:r>
            <w:r w:rsidR="005B5E60" w:rsidRPr="005B5E60">
              <w:rPr>
                <w:rFonts w:cs="Arial"/>
                <w:sz w:val="20"/>
                <w:szCs w:val="20"/>
                <w:lang w:bidi="en-US"/>
              </w:rPr>
              <w:fldChar w:fldCharType="separate"/>
            </w:r>
            <w:r w:rsidRPr="005B5E60">
              <w:rPr>
                <w:rFonts w:cs="Arial"/>
                <w:sz w:val="20"/>
                <w:szCs w:val="20"/>
                <w:lang w:bidi="en-US"/>
              </w:rPr>
              <w:fldChar w:fldCharType="end"/>
            </w:r>
            <w:r w:rsidRPr="006F39D9">
              <w:rPr>
                <w:rFonts w:cs="Arial"/>
                <w:sz w:val="20"/>
                <w:szCs w:val="20"/>
                <w:lang w:bidi="en-US"/>
              </w:rPr>
              <w:t xml:space="preserve"> by registering each stock market operation in compliance with the </w:t>
            </w:r>
            <w:r w:rsidR="006F39D9">
              <w:rPr>
                <w:rFonts w:cs="Arial"/>
                <w:sz w:val="20"/>
                <w:szCs w:val="20"/>
                <w:lang w:bidi="en-US"/>
              </w:rPr>
              <w:t>b</w:t>
            </w:r>
            <w:r w:rsidRPr="006F39D9">
              <w:rPr>
                <w:rFonts w:cs="Arial"/>
                <w:sz w:val="20"/>
                <w:szCs w:val="20"/>
                <w:lang w:bidi="en-US"/>
              </w:rPr>
              <w:t xml:space="preserve">roker’s </w:t>
            </w:r>
            <w:r w:rsidR="00DD66E0" w:rsidRPr="006F39D9">
              <w:rPr>
                <w:rFonts w:cs="Arial"/>
                <w:sz w:val="20"/>
                <w:szCs w:val="20"/>
                <w:lang w:bidi="en-US"/>
              </w:rPr>
              <w:t xml:space="preserve">(Bank’s) </w:t>
            </w:r>
            <w:r w:rsidRPr="006F39D9">
              <w:rPr>
                <w:rFonts w:cs="Arial"/>
                <w:sz w:val="20"/>
                <w:szCs w:val="20"/>
                <w:lang w:bidi="en-US"/>
              </w:rPr>
              <w:t>report;</w:t>
            </w:r>
          </w:p>
          <w:p w:rsidR="00FE1E8A" w:rsidRPr="00581412" w:rsidRDefault="00FE1E8A" w:rsidP="00470D90">
            <w:pPr>
              <w:spacing w:after="60"/>
              <w:ind w:left="709"/>
              <w:rPr>
                <w:rFonts w:cs="Arial"/>
                <w:sz w:val="20"/>
                <w:szCs w:val="20"/>
              </w:rPr>
            </w:pPr>
            <w:r w:rsidRPr="006F39D9">
              <w:rPr>
                <w:rFonts w:cs="Arial"/>
                <w:sz w:val="20"/>
                <w:szCs w:val="20"/>
                <w:lang w:bidi="en-US"/>
              </w:rPr>
              <w:fldChar w:fldCharType="begin">
                <w:ffData>
                  <w:name w:val="Флажок2"/>
                  <w:enabled/>
                  <w:calcOnExit w:val="0"/>
                  <w:checkBox>
                    <w:sizeAuto/>
                    <w:default w:val="0"/>
                  </w:checkBox>
                </w:ffData>
              </w:fldChar>
            </w:r>
            <w:r w:rsidRPr="005B5E60">
              <w:rPr>
                <w:rFonts w:cs="Arial"/>
                <w:sz w:val="20"/>
                <w:szCs w:val="20"/>
                <w:lang w:bidi="en-US"/>
              </w:rPr>
              <w:instrText xml:space="preserve"> FORMCHECKBOX </w:instrText>
            </w:r>
            <w:r w:rsidR="005B5E60" w:rsidRPr="005B5E60">
              <w:rPr>
                <w:rFonts w:cs="Arial"/>
                <w:sz w:val="20"/>
                <w:szCs w:val="20"/>
                <w:lang w:bidi="en-US"/>
              </w:rPr>
            </w:r>
            <w:r w:rsidR="005B5E60" w:rsidRPr="005B5E60">
              <w:rPr>
                <w:rFonts w:cs="Arial"/>
                <w:sz w:val="20"/>
                <w:szCs w:val="20"/>
                <w:lang w:bidi="en-US"/>
              </w:rPr>
              <w:fldChar w:fldCharType="separate"/>
            </w:r>
            <w:r w:rsidRPr="005B5E60">
              <w:rPr>
                <w:rFonts w:cs="Arial"/>
                <w:sz w:val="20"/>
                <w:szCs w:val="20"/>
                <w:lang w:bidi="en-US"/>
              </w:rPr>
              <w:fldChar w:fldCharType="end"/>
            </w:r>
            <w:r w:rsidRPr="006F39D9">
              <w:rPr>
                <w:rFonts w:cs="Arial"/>
                <w:sz w:val="20"/>
                <w:szCs w:val="20"/>
                <w:lang w:bidi="en-US"/>
              </w:rPr>
              <w:t xml:space="preserve"> by determining the net position for the Client’s brokerage operations in terms of one issue of securities and directing the transaction (writing off the total amount of securities sold by the Client and crediting the total amount of securities purchased by the Client, or registering absence of securities movement);</w:t>
            </w:r>
          </w:p>
          <w:p w:rsidR="005765AC" w:rsidRPr="006F39D9" w:rsidRDefault="00FE1E8A">
            <w:pPr>
              <w:spacing w:after="60"/>
              <w:ind w:left="709"/>
              <w:rPr>
                <w:rFonts w:cs="Arial"/>
                <w:sz w:val="20"/>
                <w:szCs w:val="20"/>
                <w:lang w:bidi="en-US"/>
              </w:rPr>
            </w:pPr>
            <w:r w:rsidRPr="006F39D9">
              <w:rPr>
                <w:rFonts w:cs="Arial"/>
                <w:sz w:val="20"/>
                <w:szCs w:val="20"/>
                <w:lang w:bidi="en-US"/>
              </w:rPr>
              <w:fldChar w:fldCharType="begin">
                <w:ffData>
                  <w:name w:val="Флажок2"/>
                  <w:enabled/>
                  <w:calcOnExit w:val="0"/>
                  <w:checkBox>
                    <w:sizeAuto/>
                    <w:default w:val="0"/>
                  </w:checkBox>
                </w:ffData>
              </w:fldChar>
            </w:r>
            <w:r w:rsidRPr="005B5E60">
              <w:rPr>
                <w:rFonts w:cs="Arial"/>
                <w:sz w:val="20"/>
                <w:szCs w:val="20"/>
                <w:lang w:bidi="en-US"/>
              </w:rPr>
              <w:instrText xml:space="preserve"> FORMCHECKBOX </w:instrText>
            </w:r>
            <w:r w:rsidR="005B5E60" w:rsidRPr="005B5E60">
              <w:rPr>
                <w:rFonts w:cs="Arial"/>
                <w:sz w:val="20"/>
                <w:szCs w:val="20"/>
                <w:lang w:bidi="en-US"/>
              </w:rPr>
            </w:r>
            <w:r w:rsidR="005B5E60" w:rsidRPr="005B5E60">
              <w:rPr>
                <w:rFonts w:cs="Arial"/>
                <w:sz w:val="20"/>
                <w:szCs w:val="20"/>
                <w:lang w:bidi="en-US"/>
              </w:rPr>
              <w:fldChar w:fldCharType="separate"/>
            </w:r>
            <w:r w:rsidRPr="005B5E60">
              <w:rPr>
                <w:rFonts w:cs="Arial"/>
                <w:sz w:val="20"/>
                <w:szCs w:val="20"/>
                <w:lang w:bidi="en-US"/>
              </w:rPr>
              <w:fldChar w:fldCharType="end"/>
            </w:r>
            <w:r w:rsidRPr="006F39D9">
              <w:rPr>
                <w:rFonts w:cs="Arial"/>
                <w:sz w:val="20"/>
                <w:szCs w:val="20"/>
                <w:lang w:bidi="en-US"/>
              </w:rPr>
              <w:t xml:space="preserve"> by determining the overall net position for the Client’s brokerage operations in terms of one issue of securities (either writing off, or crediting, or absence of securities movement).</w:t>
            </w:r>
          </w:p>
        </w:tc>
      </w:tr>
      <w:tr w:rsidR="00A817E4" w:rsidRPr="00952F81" w:rsidTr="0099211E">
        <w:tc>
          <w:tcPr>
            <w:tcW w:w="5107" w:type="dxa"/>
          </w:tcPr>
          <w:p w:rsidR="00A817E4" w:rsidRPr="004B76C7" w:rsidRDefault="00A817E4" w:rsidP="00FB4F73">
            <w:pPr>
              <w:rPr>
                <w:rFonts w:cs="Arial"/>
                <w:sz w:val="20"/>
                <w:szCs w:val="20"/>
              </w:rPr>
            </w:pPr>
          </w:p>
        </w:tc>
        <w:tc>
          <w:tcPr>
            <w:tcW w:w="5107" w:type="dxa"/>
            <w:gridSpan w:val="2"/>
          </w:tcPr>
          <w:p w:rsidR="00A817E4" w:rsidRPr="004B76C7" w:rsidRDefault="00A817E4" w:rsidP="00811316">
            <w:pPr>
              <w:spacing w:after="120"/>
              <w:rPr>
                <w:rFonts w:cs="Arial"/>
                <w:sz w:val="20"/>
                <w:szCs w:val="20"/>
              </w:rPr>
            </w:pPr>
            <w:r w:rsidRPr="004B76C7">
              <w:rPr>
                <w:sz w:val="20"/>
                <w:szCs w:val="20"/>
                <w:lang w:bidi="en-US"/>
              </w:rPr>
              <w:fldChar w:fldCharType="begin">
                <w:ffData>
                  <w:name w:val="Флажок2"/>
                  <w:enabled/>
                  <w:calcOnExit w:val="0"/>
                  <w:checkBox>
                    <w:sizeAuto/>
                    <w:default w:val="0"/>
                  </w:checkBox>
                </w:ffData>
              </w:fldChar>
            </w:r>
            <w:r w:rsidRPr="004B76C7">
              <w:rPr>
                <w:sz w:val="20"/>
                <w:szCs w:val="20"/>
                <w:lang w:bidi="en-US"/>
              </w:rPr>
              <w:instrText xml:space="preserve"> FORMCHECKBOX </w:instrText>
            </w:r>
            <w:r w:rsidR="005B5E60">
              <w:rPr>
                <w:sz w:val="20"/>
                <w:szCs w:val="20"/>
                <w:lang w:bidi="en-US"/>
              </w:rPr>
            </w:r>
            <w:r w:rsidR="005B5E60">
              <w:rPr>
                <w:sz w:val="20"/>
                <w:szCs w:val="20"/>
                <w:lang w:bidi="en-US"/>
              </w:rPr>
              <w:fldChar w:fldCharType="separate"/>
            </w:r>
            <w:r w:rsidRPr="004B76C7">
              <w:rPr>
                <w:sz w:val="20"/>
                <w:szCs w:val="20"/>
                <w:lang w:bidi="en-US"/>
              </w:rPr>
              <w:fldChar w:fldCharType="end"/>
            </w:r>
            <w:r>
              <w:rPr>
                <w:sz w:val="20"/>
                <w:szCs w:val="20"/>
                <w:lang w:bidi="en-US"/>
              </w:rPr>
              <w:t xml:space="preserve"> Open a trading </w:t>
            </w:r>
            <w:r w:rsidR="00811316">
              <w:rPr>
                <w:sz w:val="20"/>
                <w:szCs w:val="20"/>
                <w:lang w:bidi="en-US"/>
              </w:rPr>
              <w:t xml:space="preserve">custody </w:t>
            </w:r>
            <w:r>
              <w:rPr>
                <w:sz w:val="20"/>
                <w:szCs w:val="20"/>
                <w:lang w:bidi="en-US"/>
              </w:rPr>
              <w:t xml:space="preserve">account (NSD) of the </w:t>
            </w:r>
            <w:r w:rsidRPr="005E147D">
              <w:rPr>
                <w:color w:val="4F81BD" w:themeColor="accent1"/>
                <w:sz w:val="20"/>
                <w:szCs w:val="20"/>
                <w:lang w:bidi="en-US"/>
              </w:rPr>
              <w:t>&lt;owner /</w:t>
            </w:r>
            <w:r w:rsidR="00F15696">
              <w:rPr>
                <w:color w:val="4F81BD" w:themeColor="accent1"/>
                <w:sz w:val="20"/>
                <w:szCs w:val="20"/>
                <w:lang w:bidi="en-US"/>
              </w:rPr>
              <w:t xml:space="preserve"> asset manager</w:t>
            </w:r>
            <w:r w:rsidR="00F15696" w:rsidRPr="005E147D">
              <w:rPr>
                <w:color w:val="4F81BD" w:themeColor="accent1"/>
                <w:sz w:val="20"/>
                <w:szCs w:val="20"/>
                <w:lang w:bidi="en-US"/>
              </w:rPr>
              <w:t xml:space="preserve"> </w:t>
            </w:r>
            <w:r w:rsidRPr="005E147D">
              <w:rPr>
                <w:color w:val="4F81BD" w:themeColor="accent1"/>
                <w:sz w:val="20"/>
                <w:szCs w:val="20"/>
                <w:lang w:bidi="en-US"/>
              </w:rPr>
              <w:t>/ nominee holder / foreign authorized holder /</w:t>
            </w:r>
            <w:r w:rsidR="00F15696">
              <w:rPr>
                <w:color w:val="4F81BD" w:themeColor="accent1"/>
                <w:sz w:val="20"/>
                <w:szCs w:val="20"/>
                <w:lang w:bidi="en-US"/>
              </w:rPr>
              <w:t xml:space="preserve"> </w:t>
            </w:r>
            <w:r w:rsidRPr="005E147D">
              <w:rPr>
                <w:color w:val="4F81BD" w:themeColor="accent1"/>
                <w:sz w:val="20"/>
                <w:szCs w:val="20"/>
                <w:lang w:bidi="en-US"/>
              </w:rPr>
              <w:t>foreign nominee holder&gt; (choose the corresponding item)</w:t>
            </w:r>
            <w:r>
              <w:rPr>
                <w:sz w:val="20"/>
                <w:szCs w:val="20"/>
                <w:lang w:bidi="en-US"/>
              </w:rPr>
              <w:t xml:space="preserve"> and its brokerage </w:t>
            </w:r>
            <w:r w:rsidR="00811316">
              <w:rPr>
                <w:sz w:val="20"/>
                <w:szCs w:val="20"/>
                <w:lang w:bidi="en-US"/>
              </w:rPr>
              <w:t xml:space="preserve">sub-account </w:t>
            </w:r>
            <w:r>
              <w:rPr>
                <w:sz w:val="20"/>
                <w:szCs w:val="20"/>
                <w:lang w:bidi="en-US"/>
              </w:rPr>
              <w:t>(NSD) designed to register brokerage operations with securities in the OTC market (</w:t>
            </w:r>
            <w:r w:rsidR="00811316">
              <w:rPr>
                <w:sz w:val="20"/>
                <w:szCs w:val="20"/>
                <w:lang w:bidi="en-US"/>
              </w:rPr>
              <w:t>OTC</w:t>
            </w:r>
            <w:r>
              <w:rPr>
                <w:sz w:val="20"/>
                <w:szCs w:val="20"/>
                <w:lang w:bidi="en-US"/>
              </w:rPr>
              <w:t>-NSD).</w:t>
            </w:r>
          </w:p>
        </w:tc>
      </w:tr>
      <w:tr w:rsidR="00FE1E8A" w:rsidRPr="00952F81" w:rsidTr="0099211E">
        <w:tc>
          <w:tcPr>
            <w:tcW w:w="5107" w:type="dxa"/>
          </w:tcPr>
          <w:p w:rsidR="00FE1E8A" w:rsidRPr="004B76C7" w:rsidRDefault="00FE1E8A" w:rsidP="00FB4F73">
            <w:pPr>
              <w:rPr>
                <w:rFonts w:cs="Arial"/>
                <w:sz w:val="20"/>
                <w:szCs w:val="20"/>
              </w:rPr>
            </w:pPr>
          </w:p>
        </w:tc>
        <w:tc>
          <w:tcPr>
            <w:tcW w:w="5107" w:type="dxa"/>
            <w:gridSpan w:val="2"/>
          </w:tcPr>
          <w:p w:rsidR="00FE1E8A" w:rsidRPr="00470D90" w:rsidRDefault="00A817E4" w:rsidP="00E54B69">
            <w:pPr>
              <w:spacing w:after="120"/>
              <w:rPr>
                <w:rFonts w:cs="Arial"/>
                <w:color w:val="000000"/>
                <w:sz w:val="20"/>
                <w:szCs w:val="20"/>
              </w:rPr>
            </w:pPr>
            <w:r w:rsidRPr="004B76C7">
              <w:rPr>
                <w:sz w:val="20"/>
                <w:szCs w:val="20"/>
                <w:lang w:bidi="en-US"/>
              </w:rPr>
              <w:fldChar w:fldCharType="begin">
                <w:ffData>
                  <w:name w:val="Флажок2"/>
                  <w:enabled/>
                  <w:calcOnExit w:val="0"/>
                  <w:checkBox>
                    <w:sizeAuto/>
                    <w:default w:val="0"/>
                  </w:checkBox>
                </w:ffData>
              </w:fldChar>
            </w:r>
            <w:r w:rsidRPr="004B76C7">
              <w:rPr>
                <w:sz w:val="20"/>
                <w:szCs w:val="20"/>
                <w:lang w:bidi="en-US"/>
              </w:rPr>
              <w:instrText xml:space="preserve"> FORMCHECKBOX </w:instrText>
            </w:r>
            <w:r w:rsidR="005B5E60">
              <w:rPr>
                <w:sz w:val="20"/>
                <w:szCs w:val="20"/>
                <w:lang w:bidi="en-US"/>
              </w:rPr>
            </w:r>
            <w:r w:rsidR="005B5E60">
              <w:rPr>
                <w:sz w:val="20"/>
                <w:szCs w:val="20"/>
                <w:lang w:bidi="en-US"/>
              </w:rPr>
              <w:fldChar w:fldCharType="separate"/>
            </w:r>
            <w:r w:rsidRPr="004B76C7">
              <w:rPr>
                <w:sz w:val="20"/>
                <w:szCs w:val="20"/>
                <w:lang w:bidi="en-US"/>
              </w:rPr>
              <w:fldChar w:fldCharType="end"/>
            </w:r>
            <w:r w:rsidRPr="00995D76">
              <w:rPr>
                <w:sz w:val="20"/>
                <w:szCs w:val="20"/>
                <w:lang w:bidi="en-US"/>
              </w:rPr>
              <w:t xml:space="preserve"> within the </w:t>
            </w:r>
            <w:r w:rsidR="00811316">
              <w:rPr>
                <w:sz w:val="20"/>
                <w:szCs w:val="20"/>
                <w:lang w:bidi="en-US"/>
              </w:rPr>
              <w:t>custody</w:t>
            </w:r>
            <w:r w:rsidR="00811316" w:rsidRPr="00995D76">
              <w:rPr>
                <w:sz w:val="20"/>
                <w:szCs w:val="20"/>
                <w:lang w:bidi="en-US"/>
              </w:rPr>
              <w:t xml:space="preserve"> </w:t>
            </w:r>
            <w:r w:rsidRPr="00995D76">
              <w:rPr>
                <w:sz w:val="20"/>
                <w:szCs w:val="20"/>
                <w:lang w:bidi="en-US"/>
              </w:rPr>
              <w:t xml:space="preserve">account of the </w:t>
            </w:r>
            <w:r w:rsidRPr="005E147D">
              <w:rPr>
                <w:color w:val="4F81BD" w:themeColor="accent1"/>
                <w:sz w:val="20"/>
                <w:szCs w:val="20"/>
                <w:lang w:bidi="en-US"/>
              </w:rPr>
              <w:t xml:space="preserve">&lt;owner / </w:t>
            </w:r>
            <w:r w:rsidR="00F15696">
              <w:rPr>
                <w:color w:val="4F81BD" w:themeColor="accent1"/>
                <w:sz w:val="20"/>
                <w:szCs w:val="20"/>
                <w:lang w:bidi="en-US"/>
              </w:rPr>
              <w:t>asset manager</w:t>
            </w:r>
            <w:r w:rsidR="00F15696" w:rsidRPr="005E147D">
              <w:rPr>
                <w:color w:val="4F81BD" w:themeColor="accent1"/>
                <w:sz w:val="20"/>
                <w:szCs w:val="20"/>
                <w:lang w:bidi="en-US"/>
              </w:rPr>
              <w:t xml:space="preserve"> </w:t>
            </w:r>
            <w:r w:rsidRPr="005E147D">
              <w:rPr>
                <w:color w:val="4F81BD" w:themeColor="accent1"/>
                <w:sz w:val="20"/>
                <w:szCs w:val="20"/>
                <w:lang w:bidi="en-US"/>
              </w:rPr>
              <w:t>/ nominee holder / foreign authorized holder / foreign nominee holder&gt; (choose the corresponding item)</w:t>
            </w:r>
            <w:r w:rsidRPr="00995D76">
              <w:rPr>
                <w:sz w:val="20"/>
                <w:szCs w:val="20"/>
                <w:lang w:bidi="en-US"/>
              </w:rPr>
              <w:t xml:space="preserve">, opened with </w:t>
            </w:r>
            <w:r w:rsidR="00DD66E0">
              <w:rPr>
                <w:sz w:val="20"/>
                <w:szCs w:val="20"/>
                <w:lang w:bidi="en-US"/>
              </w:rPr>
              <w:t>the Bank</w:t>
            </w:r>
            <w:r w:rsidRPr="00995D76">
              <w:rPr>
                <w:sz w:val="20"/>
                <w:szCs w:val="20"/>
                <w:lang w:bidi="en-US"/>
              </w:rPr>
              <w:t xml:space="preserve">, please open a brokerage </w:t>
            </w:r>
            <w:r w:rsidR="00811316">
              <w:rPr>
                <w:sz w:val="20"/>
                <w:szCs w:val="20"/>
                <w:lang w:bidi="en-US"/>
              </w:rPr>
              <w:t>sub-account</w:t>
            </w:r>
            <w:r w:rsidR="00811316" w:rsidRPr="00995D76">
              <w:rPr>
                <w:sz w:val="20"/>
                <w:szCs w:val="20"/>
                <w:lang w:bidi="en-US"/>
              </w:rPr>
              <w:t xml:space="preserve"> </w:t>
            </w:r>
            <w:r w:rsidRPr="00995D76">
              <w:rPr>
                <w:sz w:val="20"/>
                <w:szCs w:val="20"/>
                <w:lang w:bidi="en-US"/>
              </w:rPr>
              <w:t xml:space="preserve">(EOC) designed for registering brokerage </w:t>
            </w:r>
            <w:r w:rsidRPr="00995D76">
              <w:rPr>
                <w:sz w:val="20"/>
                <w:szCs w:val="20"/>
                <w:lang w:bidi="en-US"/>
              </w:rPr>
              <w:lastRenderedPageBreak/>
              <w:t xml:space="preserve">transactions with securities </w:t>
            </w:r>
            <w:r w:rsidR="00E54B69">
              <w:rPr>
                <w:sz w:val="20"/>
                <w:szCs w:val="20"/>
                <w:lang w:bidi="en-US"/>
              </w:rPr>
              <w:t>on</w:t>
            </w:r>
            <w:r w:rsidRPr="00995D76">
              <w:rPr>
                <w:sz w:val="20"/>
                <w:szCs w:val="20"/>
                <w:lang w:bidi="en-US"/>
              </w:rPr>
              <w:t xml:space="preserve"> OTC market with settlements in Euroclear (OTC - EOC).</w:t>
            </w:r>
          </w:p>
        </w:tc>
      </w:tr>
      <w:tr w:rsidR="00A817E4" w:rsidRPr="00952F81" w:rsidTr="00D60772">
        <w:tc>
          <w:tcPr>
            <w:tcW w:w="5107" w:type="dxa"/>
          </w:tcPr>
          <w:p w:rsidR="00A817E4" w:rsidRPr="004B76C7" w:rsidRDefault="00A817E4" w:rsidP="00FB4F73">
            <w:pPr>
              <w:rPr>
                <w:rFonts w:cs="Arial"/>
                <w:sz w:val="20"/>
                <w:szCs w:val="20"/>
              </w:rPr>
            </w:pPr>
          </w:p>
        </w:tc>
        <w:tc>
          <w:tcPr>
            <w:tcW w:w="5107" w:type="dxa"/>
            <w:gridSpan w:val="2"/>
          </w:tcPr>
          <w:p w:rsidR="00A817E4" w:rsidRPr="004B76C7" w:rsidRDefault="00A817E4" w:rsidP="00E54B69">
            <w:pPr>
              <w:spacing w:after="120"/>
              <w:rPr>
                <w:rFonts w:cs="Arial"/>
                <w:sz w:val="20"/>
                <w:szCs w:val="20"/>
              </w:rPr>
            </w:pPr>
            <w:r w:rsidRPr="004B76C7">
              <w:rPr>
                <w:sz w:val="20"/>
                <w:szCs w:val="20"/>
                <w:lang w:bidi="en-US"/>
              </w:rPr>
              <w:fldChar w:fldCharType="begin">
                <w:ffData>
                  <w:name w:val="Флажок2"/>
                  <w:enabled/>
                  <w:calcOnExit w:val="0"/>
                  <w:checkBox>
                    <w:sizeAuto/>
                    <w:default w:val="0"/>
                  </w:checkBox>
                </w:ffData>
              </w:fldChar>
            </w:r>
            <w:r w:rsidRPr="004B76C7">
              <w:rPr>
                <w:sz w:val="20"/>
                <w:szCs w:val="20"/>
                <w:lang w:bidi="en-US"/>
              </w:rPr>
              <w:instrText xml:space="preserve"> FORMCHECKBOX </w:instrText>
            </w:r>
            <w:r w:rsidR="005B5E60">
              <w:rPr>
                <w:sz w:val="20"/>
                <w:szCs w:val="20"/>
                <w:lang w:bidi="en-US"/>
              </w:rPr>
            </w:r>
            <w:r w:rsidR="005B5E60">
              <w:rPr>
                <w:sz w:val="20"/>
                <w:szCs w:val="20"/>
                <w:lang w:bidi="en-US"/>
              </w:rPr>
              <w:fldChar w:fldCharType="separate"/>
            </w:r>
            <w:r w:rsidRPr="004B76C7">
              <w:rPr>
                <w:sz w:val="20"/>
                <w:szCs w:val="20"/>
                <w:lang w:bidi="en-US"/>
              </w:rPr>
              <w:fldChar w:fldCharType="end"/>
            </w:r>
            <w:r w:rsidRPr="00E75C10">
              <w:rPr>
                <w:sz w:val="20"/>
                <w:szCs w:val="20"/>
                <w:lang w:bidi="en-US"/>
              </w:rPr>
              <w:t xml:space="preserve"> within the </w:t>
            </w:r>
            <w:r w:rsidR="00811316">
              <w:rPr>
                <w:sz w:val="20"/>
                <w:szCs w:val="20"/>
                <w:lang w:bidi="en-US"/>
              </w:rPr>
              <w:t>custody</w:t>
            </w:r>
            <w:r w:rsidR="00811316" w:rsidRPr="00E75C10">
              <w:rPr>
                <w:sz w:val="20"/>
                <w:szCs w:val="20"/>
                <w:lang w:bidi="en-US"/>
              </w:rPr>
              <w:t xml:space="preserve"> </w:t>
            </w:r>
            <w:r w:rsidRPr="00E75C10">
              <w:rPr>
                <w:sz w:val="20"/>
                <w:szCs w:val="20"/>
                <w:lang w:bidi="en-US"/>
              </w:rPr>
              <w:t xml:space="preserve">account of the </w:t>
            </w:r>
            <w:r w:rsidRPr="00E75C10">
              <w:rPr>
                <w:color w:val="365F91"/>
                <w:sz w:val="20"/>
                <w:szCs w:val="20"/>
                <w:lang w:bidi="en-US"/>
              </w:rPr>
              <w:t xml:space="preserve">&lt;owner / </w:t>
            </w:r>
            <w:r w:rsidR="00F15696">
              <w:rPr>
                <w:color w:val="4F81BD" w:themeColor="accent1"/>
                <w:sz w:val="20"/>
                <w:szCs w:val="20"/>
                <w:lang w:bidi="en-US"/>
              </w:rPr>
              <w:t>asset manager</w:t>
            </w:r>
            <w:r w:rsidR="00F15696" w:rsidRPr="005E147D">
              <w:rPr>
                <w:color w:val="4F81BD" w:themeColor="accent1"/>
                <w:sz w:val="20"/>
                <w:szCs w:val="20"/>
                <w:lang w:bidi="en-US"/>
              </w:rPr>
              <w:t xml:space="preserve"> </w:t>
            </w:r>
            <w:r w:rsidRPr="00E75C10">
              <w:rPr>
                <w:color w:val="365F91"/>
                <w:sz w:val="20"/>
                <w:szCs w:val="20"/>
                <w:lang w:bidi="en-US"/>
              </w:rPr>
              <w:t xml:space="preserve">/ nominee holder / foreign authorized holder / foreign nominee holder &gt; </w:t>
            </w:r>
            <w:r w:rsidRPr="00E75C10">
              <w:rPr>
                <w:sz w:val="20"/>
                <w:szCs w:val="20"/>
                <w:lang w:bidi="en-US"/>
              </w:rPr>
              <w:t xml:space="preserve">(choose the corresponding item), opened with </w:t>
            </w:r>
            <w:r w:rsidR="00DD66E0">
              <w:rPr>
                <w:sz w:val="20"/>
                <w:szCs w:val="20"/>
                <w:lang w:bidi="en-US"/>
              </w:rPr>
              <w:t>the Bank</w:t>
            </w:r>
            <w:r w:rsidRPr="00E75C10">
              <w:rPr>
                <w:sz w:val="20"/>
                <w:szCs w:val="20"/>
                <w:lang w:bidi="en-US"/>
              </w:rPr>
              <w:t xml:space="preserve">, please open a brokerage </w:t>
            </w:r>
            <w:r w:rsidR="00811316">
              <w:rPr>
                <w:sz w:val="20"/>
                <w:szCs w:val="20"/>
                <w:lang w:bidi="en-US"/>
              </w:rPr>
              <w:t>sub-account</w:t>
            </w:r>
            <w:r w:rsidR="00811316" w:rsidRPr="00E75C10">
              <w:rPr>
                <w:sz w:val="20"/>
                <w:szCs w:val="20"/>
                <w:lang w:bidi="en-US"/>
              </w:rPr>
              <w:t xml:space="preserve"> </w:t>
            </w:r>
            <w:r w:rsidRPr="00E75C10">
              <w:rPr>
                <w:sz w:val="20"/>
                <w:szCs w:val="20"/>
                <w:lang w:bidi="en-US"/>
              </w:rPr>
              <w:t xml:space="preserve">(FS-EOC), designed for registering brokerage transactions with securities </w:t>
            </w:r>
            <w:r w:rsidR="00E54B69">
              <w:rPr>
                <w:sz w:val="20"/>
                <w:szCs w:val="20"/>
                <w:lang w:bidi="en-US"/>
              </w:rPr>
              <w:t xml:space="preserve"> on</w:t>
            </w:r>
            <w:r w:rsidRPr="00E75C10">
              <w:rPr>
                <w:sz w:val="20"/>
                <w:szCs w:val="20"/>
                <w:lang w:bidi="en-US"/>
              </w:rPr>
              <w:t xml:space="preserve"> OTC market with settlements in Euroclear (OTC-FS-EOC).</w:t>
            </w:r>
          </w:p>
        </w:tc>
      </w:tr>
      <w:tr w:rsidR="00A817E4" w:rsidRPr="00952F81" w:rsidTr="00D60772">
        <w:tc>
          <w:tcPr>
            <w:tcW w:w="5107" w:type="dxa"/>
          </w:tcPr>
          <w:p w:rsidR="00A817E4" w:rsidRPr="004B76C7" w:rsidRDefault="00A817E4" w:rsidP="00FB4F73">
            <w:pPr>
              <w:rPr>
                <w:rFonts w:cs="Arial"/>
                <w:sz w:val="20"/>
                <w:szCs w:val="20"/>
              </w:rPr>
            </w:pPr>
          </w:p>
        </w:tc>
        <w:tc>
          <w:tcPr>
            <w:tcW w:w="5107" w:type="dxa"/>
            <w:gridSpan w:val="2"/>
          </w:tcPr>
          <w:p w:rsidR="00A817E4" w:rsidRPr="004B76C7" w:rsidRDefault="00A817E4" w:rsidP="00DD66E0">
            <w:pPr>
              <w:spacing w:after="120"/>
              <w:rPr>
                <w:rFonts w:cs="Arial"/>
                <w:sz w:val="20"/>
                <w:szCs w:val="20"/>
              </w:rPr>
            </w:pPr>
            <w:r w:rsidRPr="004B76C7">
              <w:rPr>
                <w:sz w:val="20"/>
                <w:szCs w:val="20"/>
                <w:lang w:bidi="en-US"/>
              </w:rPr>
              <w:fldChar w:fldCharType="begin">
                <w:ffData>
                  <w:name w:val="Флажок2"/>
                  <w:enabled/>
                  <w:calcOnExit w:val="0"/>
                  <w:checkBox>
                    <w:sizeAuto/>
                    <w:default w:val="0"/>
                  </w:checkBox>
                </w:ffData>
              </w:fldChar>
            </w:r>
            <w:r w:rsidRPr="004B76C7">
              <w:rPr>
                <w:sz w:val="20"/>
                <w:szCs w:val="20"/>
                <w:lang w:bidi="en-US"/>
              </w:rPr>
              <w:instrText xml:space="preserve"> FORMCHECKBOX </w:instrText>
            </w:r>
            <w:r w:rsidR="005B5E60">
              <w:rPr>
                <w:sz w:val="20"/>
                <w:szCs w:val="20"/>
                <w:lang w:bidi="en-US"/>
              </w:rPr>
            </w:r>
            <w:r w:rsidR="005B5E60">
              <w:rPr>
                <w:sz w:val="20"/>
                <w:szCs w:val="20"/>
                <w:lang w:bidi="en-US"/>
              </w:rPr>
              <w:fldChar w:fldCharType="separate"/>
            </w:r>
            <w:r w:rsidRPr="004B76C7">
              <w:rPr>
                <w:sz w:val="20"/>
                <w:szCs w:val="20"/>
                <w:lang w:bidi="en-US"/>
              </w:rPr>
              <w:fldChar w:fldCharType="end"/>
            </w:r>
            <w:r w:rsidRPr="00E75C10">
              <w:rPr>
                <w:sz w:val="24"/>
                <w:lang w:bidi="en-US"/>
              </w:rPr>
              <w:t xml:space="preserve"> </w:t>
            </w:r>
            <w:r w:rsidRPr="005E147D">
              <w:rPr>
                <w:sz w:val="20"/>
                <w:szCs w:val="20"/>
                <w:lang w:bidi="en-US"/>
              </w:rPr>
              <w:t xml:space="preserve">within the </w:t>
            </w:r>
            <w:r w:rsidR="00811316">
              <w:rPr>
                <w:sz w:val="20"/>
                <w:szCs w:val="20"/>
                <w:lang w:bidi="en-US"/>
              </w:rPr>
              <w:t>custody</w:t>
            </w:r>
            <w:r w:rsidR="00811316" w:rsidRPr="005E147D">
              <w:rPr>
                <w:sz w:val="20"/>
                <w:szCs w:val="20"/>
                <w:lang w:bidi="en-US"/>
              </w:rPr>
              <w:t xml:space="preserve"> </w:t>
            </w:r>
            <w:r w:rsidRPr="005E147D">
              <w:rPr>
                <w:sz w:val="20"/>
                <w:szCs w:val="20"/>
                <w:lang w:bidi="en-US"/>
              </w:rPr>
              <w:t xml:space="preserve">account of the </w:t>
            </w:r>
            <w:r w:rsidRPr="00995D76">
              <w:rPr>
                <w:color w:val="365F91"/>
                <w:sz w:val="20"/>
                <w:szCs w:val="20"/>
                <w:lang w:bidi="en-US"/>
              </w:rPr>
              <w:t xml:space="preserve">&lt;owner / </w:t>
            </w:r>
            <w:r w:rsidR="00F15696">
              <w:rPr>
                <w:color w:val="4F81BD" w:themeColor="accent1"/>
                <w:sz w:val="20"/>
                <w:szCs w:val="20"/>
                <w:lang w:bidi="en-US"/>
              </w:rPr>
              <w:t>asset manager</w:t>
            </w:r>
            <w:r w:rsidR="00F15696" w:rsidRPr="005E147D">
              <w:rPr>
                <w:color w:val="4F81BD" w:themeColor="accent1"/>
                <w:sz w:val="20"/>
                <w:szCs w:val="20"/>
                <w:lang w:bidi="en-US"/>
              </w:rPr>
              <w:t xml:space="preserve"> </w:t>
            </w:r>
            <w:r w:rsidRPr="00995D76">
              <w:rPr>
                <w:color w:val="365F91"/>
                <w:sz w:val="20"/>
                <w:szCs w:val="20"/>
                <w:lang w:bidi="en-US"/>
              </w:rPr>
              <w:t>/ nominee holder / foreign authorized holder / foreign nominee holder&gt; (choose the corresponding item)</w:t>
            </w:r>
            <w:r w:rsidRPr="005E147D">
              <w:rPr>
                <w:sz w:val="20"/>
                <w:szCs w:val="20"/>
                <w:lang w:bidi="en-US"/>
              </w:rPr>
              <w:t xml:space="preserve">, opened with </w:t>
            </w:r>
            <w:r w:rsidR="00DD66E0">
              <w:rPr>
                <w:sz w:val="20"/>
                <w:szCs w:val="20"/>
                <w:lang w:bidi="en-US"/>
              </w:rPr>
              <w:t>the Bank</w:t>
            </w:r>
            <w:r w:rsidRPr="005E147D">
              <w:rPr>
                <w:sz w:val="20"/>
                <w:szCs w:val="20"/>
                <w:lang w:bidi="en-US"/>
              </w:rPr>
              <w:t xml:space="preserve">, please open a brokerage </w:t>
            </w:r>
            <w:r w:rsidR="00811316">
              <w:rPr>
                <w:sz w:val="20"/>
                <w:szCs w:val="20"/>
                <w:lang w:bidi="en-US"/>
              </w:rPr>
              <w:t>sub-account</w:t>
            </w:r>
            <w:r w:rsidR="00811316" w:rsidRPr="005E147D">
              <w:rPr>
                <w:sz w:val="20"/>
                <w:szCs w:val="20"/>
                <w:lang w:bidi="en-US"/>
              </w:rPr>
              <w:t xml:space="preserve"> </w:t>
            </w:r>
            <w:r w:rsidRPr="005E147D">
              <w:rPr>
                <w:sz w:val="20"/>
                <w:szCs w:val="20"/>
                <w:lang w:bidi="en-US"/>
              </w:rPr>
              <w:t xml:space="preserve">(CBL) designed for registering brokerage transactions with securities </w:t>
            </w:r>
            <w:r w:rsidR="00A65C97">
              <w:rPr>
                <w:sz w:val="20"/>
                <w:szCs w:val="20"/>
                <w:lang w:bidi="en-US"/>
              </w:rPr>
              <w:t>on</w:t>
            </w:r>
            <w:r w:rsidRPr="005E147D">
              <w:rPr>
                <w:sz w:val="20"/>
                <w:szCs w:val="20"/>
                <w:lang w:bidi="en-US"/>
              </w:rPr>
              <w:t xml:space="preserve"> OTC market with settlements in Clearstream (OTC - CBL).</w:t>
            </w:r>
          </w:p>
        </w:tc>
      </w:tr>
      <w:tr w:rsidR="00A817E4" w:rsidRPr="00952F81" w:rsidTr="00AA40EE">
        <w:tc>
          <w:tcPr>
            <w:tcW w:w="10214" w:type="dxa"/>
            <w:gridSpan w:val="3"/>
            <w:tcBorders>
              <w:bottom w:val="single" w:sz="4" w:space="0" w:color="auto"/>
            </w:tcBorders>
          </w:tcPr>
          <w:p w:rsidR="005E3784" w:rsidRPr="005B5E60" w:rsidRDefault="005E3784" w:rsidP="005E3784">
            <w:pPr>
              <w:spacing w:after="120"/>
              <w:rPr>
                <w:rFonts w:cs="Arial"/>
                <w:b/>
                <w:color w:val="000000"/>
                <w:sz w:val="20"/>
                <w:szCs w:val="20"/>
                <w:lang w:eastAsia="ru-RU"/>
              </w:rPr>
            </w:pPr>
            <w:r w:rsidRPr="009045A8">
              <w:rPr>
                <w:rFonts w:cs="Arial"/>
                <w:b/>
                <w:sz w:val="20"/>
                <w:szCs w:val="20"/>
                <w:u w:val="single"/>
                <w:lang w:eastAsia="ru-RU"/>
              </w:rPr>
              <w:t>QUIK</w:t>
            </w:r>
            <w:r w:rsidRPr="005B5E60">
              <w:rPr>
                <w:rFonts w:cs="Arial"/>
                <w:b/>
                <w:sz w:val="20"/>
                <w:szCs w:val="20"/>
                <w:u w:val="single"/>
                <w:lang w:eastAsia="ru-RU"/>
              </w:rPr>
              <w:t>:</w:t>
            </w:r>
          </w:p>
          <w:p w:rsidR="005E3784" w:rsidRPr="005B5E60" w:rsidRDefault="005E3784" w:rsidP="005E3784">
            <w:pPr>
              <w:pStyle w:val="Default"/>
              <w:rPr>
                <w:rFonts w:ascii="Arial" w:hAnsi="Arial" w:cs="Arial"/>
                <w:color w:val="auto"/>
                <w:sz w:val="20"/>
                <w:szCs w:val="20"/>
              </w:rPr>
            </w:pPr>
            <w:r w:rsidRPr="009045A8">
              <w:rPr>
                <w:rFonts w:ascii="Arial" w:hAnsi="Arial" w:cs="Arial"/>
                <w:sz w:val="20"/>
                <w:szCs w:val="20"/>
              </w:rPr>
              <w:fldChar w:fldCharType="begin">
                <w:ffData>
                  <w:name w:val="Флажок2"/>
                  <w:enabled/>
                  <w:calcOnExit w:val="0"/>
                  <w:checkBox>
                    <w:sizeAuto/>
                    <w:default w:val="0"/>
                  </w:checkBox>
                </w:ffData>
              </w:fldChar>
            </w:r>
            <w:r w:rsidRPr="005B5E60">
              <w:rPr>
                <w:rFonts w:ascii="Arial" w:hAnsi="Arial" w:cs="Arial"/>
                <w:sz w:val="20"/>
                <w:szCs w:val="20"/>
              </w:rPr>
              <w:instrText xml:space="preserve"> </w:instrText>
            </w:r>
            <w:r w:rsidRPr="009045A8">
              <w:rPr>
                <w:rFonts w:ascii="Arial" w:hAnsi="Arial" w:cs="Arial"/>
                <w:sz w:val="20"/>
                <w:szCs w:val="20"/>
              </w:rPr>
              <w:instrText>FORMCHECKBOX</w:instrText>
            </w:r>
            <w:r w:rsidRPr="005B5E60">
              <w:rPr>
                <w:rFonts w:ascii="Arial" w:hAnsi="Arial" w:cs="Arial"/>
                <w:sz w:val="20"/>
                <w:szCs w:val="20"/>
              </w:rPr>
              <w:instrText xml:space="preserve"> </w:instrText>
            </w:r>
            <w:r w:rsidR="005B5E60">
              <w:rPr>
                <w:rFonts w:ascii="Arial" w:hAnsi="Arial" w:cs="Arial"/>
                <w:sz w:val="20"/>
                <w:szCs w:val="20"/>
              </w:rPr>
            </w:r>
            <w:r w:rsidR="005B5E60">
              <w:rPr>
                <w:rFonts w:ascii="Arial" w:hAnsi="Arial" w:cs="Arial"/>
                <w:sz w:val="20"/>
                <w:szCs w:val="20"/>
              </w:rPr>
              <w:fldChar w:fldCharType="separate"/>
            </w:r>
            <w:r w:rsidRPr="009045A8">
              <w:rPr>
                <w:rFonts w:ascii="Arial" w:hAnsi="Arial" w:cs="Arial"/>
                <w:sz w:val="20"/>
                <w:szCs w:val="20"/>
              </w:rPr>
              <w:fldChar w:fldCharType="end"/>
            </w:r>
            <w:r w:rsidRPr="005B5E60">
              <w:rPr>
                <w:rFonts w:ascii="Arial" w:hAnsi="Arial" w:cs="Arial"/>
                <w:sz w:val="20"/>
                <w:szCs w:val="20"/>
              </w:rPr>
              <w:t xml:space="preserve"> </w:t>
            </w:r>
            <w:r>
              <w:rPr>
                <w:rFonts w:ascii="Arial" w:hAnsi="Arial" w:cs="Arial"/>
                <w:bCs/>
                <w:color w:val="auto"/>
                <w:sz w:val="20"/>
                <w:szCs w:val="20"/>
              </w:rPr>
              <w:t xml:space="preserve">Use </w:t>
            </w:r>
            <w:r w:rsidRPr="009045A8">
              <w:rPr>
                <w:rFonts w:ascii="Arial" w:hAnsi="Arial" w:cs="Arial"/>
                <w:bCs/>
                <w:color w:val="auto"/>
                <w:sz w:val="20"/>
                <w:szCs w:val="20"/>
              </w:rPr>
              <w:t>QUIK</w:t>
            </w:r>
            <w:r>
              <w:rPr>
                <w:rFonts w:ascii="Arial" w:hAnsi="Arial" w:cs="Arial"/>
                <w:bCs/>
                <w:color w:val="auto"/>
                <w:sz w:val="20"/>
                <w:szCs w:val="20"/>
              </w:rPr>
              <w:t xml:space="preserve"> Workplace for executing of operations</w:t>
            </w:r>
            <w:r w:rsidRPr="005B5E60">
              <w:rPr>
                <w:rFonts w:ascii="Arial" w:hAnsi="Arial" w:cs="Arial"/>
                <w:bCs/>
                <w:color w:val="auto"/>
                <w:sz w:val="20"/>
                <w:szCs w:val="20"/>
              </w:rPr>
              <w:t xml:space="preserve"> </w:t>
            </w:r>
          </w:p>
          <w:p w:rsidR="005E3784" w:rsidRPr="005B5E60" w:rsidRDefault="005E3784" w:rsidP="00811316">
            <w:pPr>
              <w:rPr>
                <w:b/>
                <w:sz w:val="20"/>
                <w:szCs w:val="20"/>
                <w:lang w:bidi="en-US"/>
              </w:rPr>
            </w:pPr>
          </w:p>
          <w:p w:rsidR="00A817E4" w:rsidRPr="004B76C7" w:rsidRDefault="00A817E4" w:rsidP="006F39D9">
            <w:pPr>
              <w:rPr>
                <w:rFonts w:cs="Arial"/>
                <w:sz w:val="20"/>
                <w:szCs w:val="20"/>
              </w:rPr>
            </w:pPr>
            <w:r w:rsidRPr="00E75C10">
              <w:rPr>
                <w:b/>
                <w:sz w:val="20"/>
                <w:szCs w:val="20"/>
                <w:lang w:bidi="en-US"/>
              </w:rPr>
              <w:t xml:space="preserve">I hereby </w:t>
            </w:r>
            <w:r w:rsidRPr="00DD66E0">
              <w:rPr>
                <w:b/>
                <w:sz w:val="20"/>
                <w:szCs w:val="20"/>
                <w:lang w:bidi="en-US"/>
              </w:rPr>
              <w:t xml:space="preserve">appoint </w:t>
            </w:r>
            <w:r w:rsidR="00DD66E0" w:rsidRPr="00DD66E0">
              <w:rPr>
                <w:b/>
                <w:sz w:val="20"/>
                <w:szCs w:val="20"/>
                <w:lang w:bidi="en-US"/>
              </w:rPr>
              <w:t>the Bank</w:t>
            </w:r>
            <w:r w:rsidR="00DD66E0" w:rsidRPr="00E75C10" w:rsidDel="00DD66E0">
              <w:rPr>
                <w:b/>
                <w:sz w:val="20"/>
                <w:szCs w:val="20"/>
                <w:lang w:bidi="en-US"/>
              </w:rPr>
              <w:t xml:space="preserve"> </w:t>
            </w:r>
            <w:r w:rsidRPr="00E75C10">
              <w:rPr>
                <w:b/>
                <w:sz w:val="20"/>
                <w:szCs w:val="20"/>
                <w:lang w:bidi="en-US"/>
              </w:rPr>
              <w:t xml:space="preserve">as the Operator of the above mentioned </w:t>
            </w:r>
            <w:r w:rsidR="00DD66E0" w:rsidRPr="00E75C10">
              <w:rPr>
                <w:b/>
                <w:sz w:val="20"/>
                <w:szCs w:val="20"/>
                <w:lang w:bidi="en-US"/>
              </w:rPr>
              <w:t xml:space="preserve">brokerage </w:t>
            </w:r>
            <w:r w:rsidR="006F39D9">
              <w:rPr>
                <w:b/>
                <w:sz w:val="20"/>
                <w:szCs w:val="20"/>
                <w:lang w:bidi="en-US"/>
              </w:rPr>
              <w:t>s</w:t>
            </w:r>
            <w:r w:rsidR="00811316">
              <w:rPr>
                <w:b/>
                <w:sz w:val="20"/>
                <w:szCs w:val="20"/>
                <w:lang w:bidi="en-US"/>
              </w:rPr>
              <w:t>ub-account</w:t>
            </w:r>
            <w:r w:rsidR="00811316" w:rsidRPr="00E75C10">
              <w:rPr>
                <w:b/>
                <w:sz w:val="20"/>
                <w:szCs w:val="20"/>
                <w:lang w:bidi="en-US"/>
              </w:rPr>
              <w:t xml:space="preserve">s </w:t>
            </w:r>
            <w:r w:rsidRPr="00E75C10">
              <w:rPr>
                <w:b/>
                <w:sz w:val="20"/>
                <w:szCs w:val="20"/>
                <w:lang w:bidi="en-US"/>
              </w:rPr>
              <w:t xml:space="preserve">and entitle it to submit orders for the execution of </w:t>
            </w:r>
            <w:r w:rsidR="00811316">
              <w:rPr>
                <w:b/>
                <w:sz w:val="20"/>
                <w:szCs w:val="20"/>
                <w:lang w:bidi="en-US"/>
              </w:rPr>
              <w:t>custody</w:t>
            </w:r>
            <w:r w:rsidR="00811316" w:rsidRPr="00E75C10">
              <w:rPr>
                <w:b/>
                <w:sz w:val="20"/>
                <w:szCs w:val="20"/>
                <w:lang w:bidi="en-US"/>
              </w:rPr>
              <w:t xml:space="preserve"> </w:t>
            </w:r>
            <w:r w:rsidRPr="00E75C10">
              <w:rPr>
                <w:b/>
                <w:sz w:val="20"/>
                <w:szCs w:val="20"/>
                <w:lang w:bidi="en-US"/>
              </w:rPr>
              <w:t xml:space="preserve">operations under the specified </w:t>
            </w:r>
            <w:r w:rsidR="00811316">
              <w:rPr>
                <w:b/>
                <w:sz w:val="20"/>
                <w:szCs w:val="20"/>
                <w:lang w:bidi="en-US"/>
              </w:rPr>
              <w:t>sub-account</w:t>
            </w:r>
            <w:r w:rsidRPr="00E75C10">
              <w:rPr>
                <w:b/>
                <w:sz w:val="20"/>
                <w:szCs w:val="20"/>
                <w:lang w:bidi="en-US"/>
              </w:rPr>
              <w:t>, following the outcome of brokerage transactions.</w:t>
            </w:r>
          </w:p>
        </w:tc>
      </w:tr>
      <w:tr w:rsidR="00A817E4" w:rsidRPr="00952F81" w:rsidTr="00470D90">
        <w:tc>
          <w:tcPr>
            <w:tcW w:w="10214" w:type="dxa"/>
            <w:gridSpan w:val="3"/>
            <w:tcBorders>
              <w:top w:val="single" w:sz="4" w:space="0" w:color="auto"/>
            </w:tcBorders>
          </w:tcPr>
          <w:p w:rsidR="00A817E4" w:rsidRPr="004B76C7" w:rsidRDefault="00A817E4" w:rsidP="00A817E4">
            <w:pPr>
              <w:rPr>
                <w:rFonts w:cs="Arial"/>
                <w:sz w:val="20"/>
                <w:szCs w:val="20"/>
              </w:rPr>
            </w:pPr>
            <w:r w:rsidRPr="00952F81">
              <w:rPr>
                <w:sz w:val="20"/>
                <w:szCs w:val="20"/>
                <w:lang w:bidi="en-US"/>
              </w:rPr>
              <w:t>Automated and non-automated processing of personal data specified in this Application is carried out by the Bank</w:t>
            </w:r>
            <w:r>
              <w:rPr>
                <w:rStyle w:val="af"/>
                <w:sz w:val="20"/>
                <w:szCs w:val="20"/>
                <w:lang w:bidi="en-US"/>
              </w:rPr>
              <w:footnoteReference w:customMarkFollows="1" w:id="2"/>
              <w:t>2</w:t>
            </w:r>
            <w:r w:rsidRPr="00952F81">
              <w:rPr>
                <w:sz w:val="20"/>
                <w:szCs w:val="20"/>
                <w:lang w:bidi="en-US"/>
              </w:rPr>
              <w:t xml:space="preserve"> in order to fulfill the Client’s order. Data processing includes: collecting, recording, organizing, storing, retrieving, using, transferring (providing) to third parties</w:t>
            </w:r>
            <w:r>
              <w:rPr>
                <w:rStyle w:val="af"/>
                <w:sz w:val="20"/>
                <w:szCs w:val="20"/>
                <w:lang w:bidi="en-US"/>
              </w:rPr>
              <w:footnoteReference w:customMarkFollows="1" w:id="3"/>
              <w:t>3</w:t>
            </w:r>
            <w:r w:rsidRPr="00952F81">
              <w:rPr>
                <w:sz w:val="20"/>
                <w:szCs w:val="20"/>
                <w:lang w:bidi="en-US"/>
              </w:rPr>
              <w:t xml:space="preserve">, their employees and persons authorized by them, including cross-border transfer to the territories of foreign states that provide adequate protection of the rights of personal data subjects, depersonalizing, blocking and destroying. The term for processing personal data is limited to the term of the </w:t>
            </w:r>
            <w:r w:rsidR="005E3784" w:rsidRPr="00952F81">
              <w:rPr>
                <w:sz w:val="20"/>
                <w:szCs w:val="20"/>
                <w:lang w:bidi="en-US"/>
              </w:rPr>
              <w:t>Brokerage Service</w:t>
            </w:r>
            <w:r w:rsidR="005E3784">
              <w:rPr>
                <w:sz w:val="20"/>
                <w:szCs w:val="20"/>
                <w:lang w:bidi="en-US"/>
              </w:rPr>
              <w:t>s</w:t>
            </w:r>
            <w:r w:rsidR="005E3784" w:rsidRPr="00952F81">
              <w:rPr>
                <w:sz w:val="20"/>
                <w:szCs w:val="20"/>
                <w:lang w:bidi="en-US"/>
              </w:rPr>
              <w:t xml:space="preserve"> Agreement </w:t>
            </w:r>
            <w:r w:rsidRPr="00952F81">
              <w:rPr>
                <w:sz w:val="20"/>
                <w:szCs w:val="20"/>
                <w:lang w:bidi="en-US"/>
              </w:rPr>
              <w:t>and of the depositary services agreement concluded between the Bank and the Client.</w:t>
            </w:r>
          </w:p>
        </w:tc>
      </w:tr>
      <w:tr w:rsidR="001468A2" w:rsidRPr="00952F81" w:rsidTr="00D05333">
        <w:tc>
          <w:tcPr>
            <w:tcW w:w="10214" w:type="dxa"/>
            <w:gridSpan w:val="3"/>
          </w:tcPr>
          <w:p w:rsidR="001F3537" w:rsidRPr="00952F81" w:rsidRDefault="001F3537" w:rsidP="00A33D00">
            <w:pPr>
              <w:rPr>
                <w:rFonts w:cs="Arial"/>
                <w:sz w:val="20"/>
                <w:szCs w:val="20"/>
              </w:rPr>
            </w:pPr>
          </w:p>
          <w:p w:rsidR="001468A2" w:rsidRDefault="001468A2" w:rsidP="00A33D00">
            <w:pPr>
              <w:rPr>
                <w:rFonts w:cs="Arial"/>
                <w:sz w:val="20"/>
                <w:szCs w:val="20"/>
              </w:rPr>
            </w:pPr>
            <w:r w:rsidRPr="00952F81">
              <w:rPr>
                <w:sz w:val="20"/>
                <w:szCs w:val="20"/>
                <w:lang w:bidi="en-US"/>
              </w:rPr>
              <w:t xml:space="preserve">Signature of the </w:t>
            </w:r>
            <w:r w:rsidR="002D57CA" w:rsidRPr="00952F81">
              <w:rPr>
                <w:sz w:val="20"/>
                <w:szCs w:val="20"/>
                <w:lang w:bidi="en-US"/>
              </w:rPr>
              <w:fldChar w:fldCharType="begin">
                <w:ffData>
                  <w:name w:val="Флажок2"/>
                  <w:enabled/>
                  <w:calcOnExit w:val="0"/>
                  <w:checkBox>
                    <w:sizeAuto/>
                    <w:default w:val="0"/>
                  </w:checkBox>
                </w:ffData>
              </w:fldChar>
            </w:r>
            <w:r w:rsidRPr="00952F81">
              <w:rPr>
                <w:sz w:val="20"/>
                <w:szCs w:val="20"/>
                <w:lang w:bidi="en-US"/>
              </w:rPr>
              <w:instrText xml:space="preserve"> FORMCHECKBOX </w:instrText>
            </w:r>
            <w:r w:rsidR="005B5E60">
              <w:rPr>
                <w:sz w:val="20"/>
                <w:szCs w:val="20"/>
                <w:lang w:bidi="en-US"/>
              </w:rPr>
            </w:r>
            <w:r w:rsidR="005B5E60">
              <w:rPr>
                <w:sz w:val="20"/>
                <w:szCs w:val="20"/>
                <w:lang w:bidi="en-US"/>
              </w:rPr>
              <w:fldChar w:fldCharType="separate"/>
            </w:r>
            <w:r w:rsidR="002D57CA" w:rsidRPr="00952F81">
              <w:rPr>
                <w:sz w:val="20"/>
                <w:szCs w:val="20"/>
                <w:lang w:bidi="en-US"/>
              </w:rPr>
              <w:fldChar w:fldCharType="end"/>
            </w:r>
            <w:r w:rsidRPr="00952F81">
              <w:rPr>
                <w:sz w:val="20"/>
                <w:szCs w:val="20"/>
                <w:lang w:bidi="en-US"/>
              </w:rPr>
              <w:t xml:space="preserve"> Client / </w:t>
            </w:r>
            <w:r w:rsidR="002D57CA" w:rsidRPr="00952F81">
              <w:rPr>
                <w:sz w:val="20"/>
                <w:szCs w:val="20"/>
                <w:lang w:bidi="en-US"/>
              </w:rPr>
              <w:fldChar w:fldCharType="begin">
                <w:ffData>
                  <w:name w:val="Флажок2"/>
                  <w:enabled/>
                  <w:calcOnExit w:val="0"/>
                  <w:checkBox>
                    <w:sizeAuto/>
                    <w:default w:val="0"/>
                  </w:checkBox>
                </w:ffData>
              </w:fldChar>
            </w:r>
            <w:r w:rsidRPr="00952F81">
              <w:rPr>
                <w:sz w:val="20"/>
                <w:szCs w:val="20"/>
                <w:lang w:bidi="en-US"/>
              </w:rPr>
              <w:instrText xml:space="preserve"> FORMCHECKBOX </w:instrText>
            </w:r>
            <w:r w:rsidR="005B5E60">
              <w:rPr>
                <w:sz w:val="20"/>
                <w:szCs w:val="20"/>
                <w:lang w:bidi="en-US"/>
              </w:rPr>
            </w:r>
            <w:r w:rsidR="005B5E60">
              <w:rPr>
                <w:sz w:val="20"/>
                <w:szCs w:val="20"/>
                <w:lang w:bidi="en-US"/>
              </w:rPr>
              <w:fldChar w:fldCharType="separate"/>
            </w:r>
            <w:r w:rsidR="002D57CA" w:rsidRPr="00952F81">
              <w:rPr>
                <w:sz w:val="20"/>
                <w:szCs w:val="20"/>
                <w:lang w:bidi="en-US"/>
              </w:rPr>
              <w:fldChar w:fldCharType="end"/>
            </w:r>
            <w:r w:rsidRPr="00952F81">
              <w:rPr>
                <w:sz w:val="20"/>
                <w:szCs w:val="20"/>
                <w:lang w:bidi="en-US"/>
              </w:rPr>
              <w:t xml:space="preserve"> Client’s representative:</w:t>
            </w:r>
          </w:p>
          <w:p w:rsidR="006E239E" w:rsidRPr="00952F81" w:rsidRDefault="006E239E" w:rsidP="00A33D00">
            <w:pPr>
              <w:rPr>
                <w:rFonts w:cs="Arial"/>
                <w:sz w:val="20"/>
                <w:szCs w:val="20"/>
              </w:rPr>
            </w:pPr>
          </w:p>
        </w:tc>
      </w:tr>
      <w:tr w:rsidR="001468A2" w:rsidRPr="00952F81" w:rsidTr="00D05333">
        <w:tc>
          <w:tcPr>
            <w:tcW w:w="10214" w:type="dxa"/>
            <w:gridSpan w:val="3"/>
          </w:tcPr>
          <w:p w:rsidR="001468A2" w:rsidRPr="00952F81" w:rsidRDefault="001468A2" w:rsidP="008F3CF2">
            <w:pPr>
              <w:rPr>
                <w:rFonts w:cs="Arial"/>
                <w:sz w:val="20"/>
                <w:szCs w:val="20"/>
              </w:rPr>
            </w:pPr>
            <w:r w:rsidRPr="00952F81">
              <w:rPr>
                <w:sz w:val="20"/>
                <w:szCs w:val="20"/>
                <w:lang w:bidi="en-US"/>
              </w:rPr>
              <w:t xml:space="preserve">________________________________/______________________________ </w:t>
            </w:r>
          </w:p>
        </w:tc>
      </w:tr>
      <w:tr w:rsidR="001468A2" w:rsidRPr="00952F81" w:rsidTr="00D05333">
        <w:tc>
          <w:tcPr>
            <w:tcW w:w="10214" w:type="dxa"/>
            <w:gridSpan w:val="3"/>
          </w:tcPr>
          <w:p w:rsidR="008F3CF2" w:rsidRDefault="008F3CF2" w:rsidP="008F3CF2">
            <w:pPr>
              <w:rPr>
                <w:rFonts w:cs="Arial"/>
                <w:sz w:val="20"/>
                <w:szCs w:val="20"/>
              </w:rPr>
            </w:pPr>
            <w:r w:rsidRPr="00952F81">
              <w:rPr>
                <w:i/>
                <w:sz w:val="20"/>
                <w:szCs w:val="20"/>
                <w:lang w:bidi="en-US"/>
              </w:rPr>
              <w:t>(signature)</w:t>
            </w:r>
            <w:r w:rsidR="00F15696">
              <w:rPr>
                <w:i/>
                <w:sz w:val="20"/>
                <w:szCs w:val="20"/>
                <w:lang w:bidi="en-US"/>
              </w:rPr>
              <w:t xml:space="preserve">                       </w:t>
            </w:r>
            <w:r w:rsidRPr="00952F81">
              <w:rPr>
                <w:i/>
                <w:sz w:val="20"/>
                <w:szCs w:val="20"/>
                <w:lang w:bidi="en-US"/>
              </w:rPr>
              <w:t>(Full name)</w:t>
            </w:r>
            <w:bookmarkStart w:id="0" w:name="_GoBack"/>
            <w:bookmarkEnd w:id="0"/>
          </w:p>
          <w:p w:rsidR="008F3CF2" w:rsidRDefault="008F3CF2" w:rsidP="008F3CF2">
            <w:pPr>
              <w:rPr>
                <w:rFonts w:cs="Arial"/>
                <w:sz w:val="20"/>
                <w:szCs w:val="20"/>
              </w:rPr>
            </w:pPr>
          </w:p>
          <w:p w:rsidR="008F3CF2" w:rsidRDefault="006F39D9" w:rsidP="00F15696">
            <w:pPr>
              <w:jc w:val="left"/>
              <w:rPr>
                <w:rFonts w:cs="Arial"/>
                <w:sz w:val="20"/>
                <w:szCs w:val="20"/>
              </w:rPr>
            </w:pPr>
            <w:r>
              <w:rPr>
                <w:sz w:val="20"/>
                <w:szCs w:val="20"/>
                <w:lang w:bidi="en-US"/>
              </w:rPr>
              <w:t>Job title</w:t>
            </w:r>
            <w:r>
              <w:rPr>
                <w:sz w:val="20"/>
                <w:szCs w:val="20"/>
                <w:lang w:bidi="en-US"/>
              </w:rPr>
              <w:t xml:space="preserve"> </w:t>
            </w:r>
            <w:r w:rsidR="008F3CF2">
              <w:rPr>
                <w:sz w:val="20"/>
                <w:szCs w:val="20"/>
                <w:lang w:bidi="en-US"/>
              </w:rPr>
              <w:t>(for the representatives of the Client who is a legal entity) __________________________________________</w:t>
            </w:r>
          </w:p>
          <w:p w:rsidR="008F3CF2" w:rsidRPr="00952F81" w:rsidRDefault="00F15696" w:rsidP="008F3CF2">
            <w:pPr>
              <w:rPr>
                <w:rFonts w:cs="Arial"/>
                <w:sz w:val="20"/>
                <w:szCs w:val="20"/>
              </w:rPr>
            </w:pPr>
            <w:r>
              <w:rPr>
                <w:sz w:val="20"/>
                <w:szCs w:val="20"/>
                <w:lang w:bidi="en-US"/>
              </w:rPr>
              <w:t xml:space="preserve">                 </w:t>
            </w:r>
          </w:p>
        </w:tc>
      </w:tr>
      <w:tr w:rsidR="001468A2" w:rsidRPr="00952F81" w:rsidTr="00D05333">
        <w:tc>
          <w:tcPr>
            <w:tcW w:w="10214" w:type="dxa"/>
            <w:gridSpan w:val="3"/>
          </w:tcPr>
          <w:p w:rsidR="001468A2" w:rsidRPr="00952F81" w:rsidRDefault="001468A2" w:rsidP="008F3CF2">
            <w:pPr>
              <w:rPr>
                <w:rFonts w:cs="Arial"/>
                <w:sz w:val="20"/>
                <w:szCs w:val="20"/>
              </w:rPr>
            </w:pPr>
            <w:r w:rsidRPr="00952F81">
              <w:rPr>
                <w:sz w:val="20"/>
                <w:szCs w:val="20"/>
                <w:lang w:bidi="en-US"/>
              </w:rPr>
              <w:t xml:space="preserve"> STAMP HEREl</w:t>
            </w:r>
            <w:r w:rsidR="00F15696">
              <w:rPr>
                <w:sz w:val="20"/>
                <w:szCs w:val="20"/>
                <w:lang w:bidi="en-US"/>
              </w:rPr>
              <w:t>N</w:t>
            </w:r>
            <w:r w:rsidRPr="00952F81">
              <w:rPr>
                <w:i/>
                <w:sz w:val="20"/>
                <w:szCs w:val="20"/>
                <w:lang w:bidi="en-US"/>
              </w:rPr>
              <w:t xml:space="preserve"> (if available)</w:t>
            </w:r>
          </w:p>
        </w:tc>
      </w:tr>
      <w:tr w:rsidR="001468A2" w:rsidRPr="00952F81" w:rsidTr="00D05333">
        <w:trPr>
          <w:trHeight w:val="80"/>
        </w:trPr>
        <w:tc>
          <w:tcPr>
            <w:tcW w:w="10214" w:type="dxa"/>
            <w:gridSpan w:val="3"/>
            <w:tcBorders>
              <w:bottom w:val="single" w:sz="4" w:space="0" w:color="auto"/>
            </w:tcBorders>
          </w:tcPr>
          <w:p w:rsidR="001468A2" w:rsidRPr="00952F81" w:rsidRDefault="001468A2" w:rsidP="00A33D00">
            <w:pPr>
              <w:pBdr>
                <w:bottom w:val="single" w:sz="12" w:space="1" w:color="auto"/>
              </w:pBdr>
              <w:rPr>
                <w:rFonts w:cs="Arial"/>
                <w:sz w:val="20"/>
                <w:szCs w:val="20"/>
              </w:rPr>
            </w:pPr>
          </w:p>
        </w:tc>
      </w:tr>
      <w:tr w:rsidR="001468A2" w:rsidRPr="00952F81" w:rsidTr="00D05333">
        <w:tc>
          <w:tcPr>
            <w:tcW w:w="10214" w:type="dxa"/>
            <w:gridSpan w:val="3"/>
            <w:tcBorders>
              <w:top w:val="single" w:sz="4" w:space="0" w:color="auto"/>
            </w:tcBorders>
          </w:tcPr>
          <w:p w:rsidR="001468A2" w:rsidRPr="00952F81" w:rsidRDefault="001468A2" w:rsidP="006F39D9">
            <w:pPr>
              <w:jc w:val="right"/>
              <w:rPr>
                <w:rFonts w:cs="Arial"/>
                <w:b/>
                <w:sz w:val="20"/>
                <w:szCs w:val="20"/>
              </w:rPr>
            </w:pPr>
            <w:r w:rsidRPr="00952F81">
              <w:rPr>
                <w:b/>
                <w:sz w:val="20"/>
                <w:szCs w:val="20"/>
                <w:lang w:bidi="en-US"/>
              </w:rPr>
              <w:t>For the Bank’s notes</w:t>
            </w:r>
          </w:p>
        </w:tc>
      </w:tr>
      <w:tr w:rsidR="001468A2" w:rsidRPr="00952F81" w:rsidTr="00D05333">
        <w:tc>
          <w:tcPr>
            <w:tcW w:w="10214" w:type="dxa"/>
            <w:gridSpan w:val="3"/>
          </w:tcPr>
          <w:p w:rsidR="001468A2" w:rsidRPr="00952F81" w:rsidRDefault="001468A2" w:rsidP="00286F63">
            <w:pPr>
              <w:rPr>
                <w:rFonts w:cs="Arial"/>
                <w:sz w:val="20"/>
                <w:szCs w:val="20"/>
              </w:rPr>
            </w:pPr>
            <w:r w:rsidRPr="00952F81">
              <w:rPr>
                <w:sz w:val="20"/>
                <w:szCs w:val="20"/>
                <w:lang w:bidi="en-US"/>
              </w:rPr>
              <w:t>Application number - __________________________________________</w:t>
            </w:r>
          </w:p>
        </w:tc>
      </w:tr>
      <w:tr w:rsidR="001468A2" w:rsidRPr="00952F81" w:rsidTr="00D05333">
        <w:tc>
          <w:tcPr>
            <w:tcW w:w="10214" w:type="dxa"/>
            <w:gridSpan w:val="3"/>
          </w:tcPr>
          <w:p w:rsidR="00662A5F" w:rsidRDefault="00662A5F" w:rsidP="00286F63">
            <w:pPr>
              <w:rPr>
                <w:rFonts w:cs="Arial"/>
                <w:sz w:val="20"/>
                <w:szCs w:val="20"/>
              </w:rPr>
            </w:pPr>
          </w:p>
          <w:p w:rsidR="001468A2" w:rsidRPr="00952F81" w:rsidRDefault="00286F63" w:rsidP="00286F63">
            <w:pPr>
              <w:rPr>
                <w:rFonts w:cs="Arial"/>
                <w:sz w:val="20"/>
                <w:szCs w:val="20"/>
              </w:rPr>
            </w:pPr>
            <w:r w:rsidRPr="00952F81">
              <w:rPr>
                <w:sz w:val="20"/>
                <w:szCs w:val="20"/>
                <w:lang w:bidi="en-US"/>
              </w:rPr>
              <w:t>Application received on ______________ «___»</w:t>
            </w:r>
            <w:r w:rsidR="00F15696">
              <w:rPr>
                <w:sz w:val="20"/>
                <w:szCs w:val="20"/>
                <w:lang w:bidi="en-US"/>
              </w:rPr>
              <w:t xml:space="preserve"> </w:t>
            </w:r>
            <w:r w:rsidRPr="00952F81">
              <w:rPr>
                <w:sz w:val="20"/>
                <w:szCs w:val="20"/>
                <w:lang w:bidi="en-US"/>
              </w:rPr>
              <w:t>______ at ____:____:____</w:t>
            </w:r>
            <w:r w:rsidR="00F15696">
              <w:rPr>
                <w:sz w:val="20"/>
                <w:szCs w:val="20"/>
                <w:lang w:bidi="en-US"/>
              </w:rPr>
              <w:t xml:space="preserve"> </w:t>
            </w:r>
            <w:r w:rsidRPr="00952F81">
              <w:rPr>
                <w:sz w:val="20"/>
                <w:szCs w:val="20"/>
                <w:lang w:bidi="en-US"/>
              </w:rPr>
              <w:t>Moscow time</w:t>
            </w:r>
          </w:p>
        </w:tc>
      </w:tr>
      <w:tr w:rsidR="001468A2" w:rsidRPr="00952F81" w:rsidTr="00D05333">
        <w:tc>
          <w:tcPr>
            <w:tcW w:w="10214" w:type="dxa"/>
            <w:gridSpan w:val="3"/>
          </w:tcPr>
          <w:p w:rsidR="00662A5F" w:rsidRDefault="00662A5F" w:rsidP="00286F63">
            <w:pPr>
              <w:rPr>
                <w:rFonts w:cs="Arial"/>
                <w:sz w:val="20"/>
                <w:szCs w:val="20"/>
              </w:rPr>
            </w:pPr>
          </w:p>
          <w:p w:rsidR="001468A2" w:rsidRPr="00952F81" w:rsidRDefault="00286F63" w:rsidP="00286F63">
            <w:pPr>
              <w:rPr>
                <w:rFonts w:cs="Arial"/>
                <w:sz w:val="20"/>
                <w:szCs w:val="20"/>
              </w:rPr>
            </w:pPr>
            <w:r w:rsidRPr="00952F81">
              <w:rPr>
                <w:sz w:val="20"/>
                <w:szCs w:val="20"/>
                <w:lang w:bidi="en-US"/>
              </w:rPr>
              <w:t>Application registered __________________________________ /_________________________</w:t>
            </w:r>
          </w:p>
        </w:tc>
      </w:tr>
      <w:tr w:rsidR="001468A2" w:rsidRPr="00952F81" w:rsidTr="00D05333">
        <w:tc>
          <w:tcPr>
            <w:tcW w:w="10214" w:type="dxa"/>
            <w:gridSpan w:val="3"/>
          </w:tcPr>
          <w:p w:rsidR="001468A2" w:rsidRPr="00952F81" w:rsidRDefault="001468A2" w:rsidP="000A711F">
            <w:pPr>
              <w:ind w:firstLine="2127"/>
              <w:rPr>
                <w:rFonts w:cs="Arial"/>
                <w:sz w:val="20"/>
                <w:szCs w:val="20"/>
              </w:rPr>
            </w:pPr>
            <w:r w:rsidRPr="00952F81">
              <w:rPr>
                <w:i/>
                <w:sz w:val="20"/>
                <w:szCs w:val="20"/>
                <w:lang w:bidi="en-US"/>
              </w:rPr>
              <w:t>(employee’s full name)</w:t>
            </w:r>
            <w:r w:rsidR="00F15696">
              <w:rPr>
                <w:i/>
                <w:sz w:val="20"/>
                <w:szCs w:val="20"/>
                <w:lang w:bidi="en-US"/>
              </w:rPr>
              <w:t xml:space="preserve">                </w:t>
            </w:r>
            <w:r w:rsidRPr="00952F81">
              <w:rPr>
                <w:i/>
                <w:sz w:val="20"/>
                <w:szCs w:val="20"/>
                <w:lang w:bidi="en-US"/>
              </w:rPr>
              <w:t>(employee’s signature)</w:t>
            </w:r>
          </w:p>
        </w:tc>
      </w:tr>
      <w:tr w:rsidR="000A711F" w:rsidRPr="00952F81" w:rsidTr="00D05333">
        <w:tc>
          <w:tcPr>
            <w:tcW w:w="10214" w:type="dxa"/>
            <w:gridSpan w:val="3"/>
          </w:tcPr>
          <w:p w:rsidR="000A711F" w:rsidRPr="00952F81" w:rsidRDefault="000A711F" w:rsidP="006E239E">
            <w:pPr>
              <w:rPr>
                <w:i/>
                <w:sz w:val="20"/>
                <w:szCs w:val="20"/>
                <w:lang w:bidi="en-US"/>
              </w:rPr>
            </w:pPr>
          </w:p>
        </w:tc>
      </w:tr>
    </w:tbl>
    <w:p w:rsidR="006E239E" w:rsidRDefault="006E239E" w:rsidP="00F81A6D">
      <w:pPr>
        <w:jc w:val="left"/>
        <w:rPr>
          <w:rFonts w:ascii="Times New Roman" w:hAnsi="Times New Roman"/>
          <w:sz w:val="24"/>
          <w:lang w:eastAsia="ru-RU"/>
        </w:rPr>
      </w:pPr>
    </w:p>
    <w:p w:rsidR="006E239E" w:rsidRDefault="006E239E" w:rsidP="00F81A6D">
      <w:pPr>
        <w:jc w:val="left"/>
        <w:rPr>
          <w:rFonts w:ascii="Times New Roman" w:hAnsi="Times New Roman"/>
          <w:sz w:val="24"/>
          <w:lang w:eastAsia="ru-RU"/>
        </w:rPr>
      </w:pPr>
    </w:p>
    <w:p w:rsidR="006E239E" w:rsidRPr="00F81A6D" w:rsidRDefault="006E239E" w:rsidP="00F81A6D">
      <w:pPr>
        <w:jc w:val="left"/>
        <w:rPr>
          <w:rFonts w:ascii="Times New Roman" w:hAnsi="Times New Roman"/>
          <w:sz w:val="24"/>
          <w:lang w:eastAsia="ru-RU"/>
        </w:rPr>
      </w:pPr>
    </w:p>
    <w:p w:rsidR="003A6C1B" w:rsidRPr="00952F81" w:rsidRDefault="003A6C1B" w:rsidP="001468A2">
      <w:pPr>
        <w:rPr>
          <w:rFonts w:cs="Arial"/>
          <w:sz w:val="20"/>
          <w:szCs w:val="20"/>
        </w:rPr>
      </w:pPr>
    </w:p>
    <w:sectPr w:rsidR="003A6C1B" w:rsidRPr="00952F81" w:rsidSect="00A817E4">
      <w:headerReference w:type="default" r:id="rId10"/>
      <w:footerReference w:type="default" r:id="rId11"/>
      <w:pgSz w:w="11906" w:h="16838" w:code="9"/>
      <w:pgMar w:top="851" w:right="1134" w:bottom="851" w:left="1134"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85" w:rsidRDefault="007E1E85">
      <w:r>
        <w:separator/>
      </w:r>
    </w:p>
  </w:endnote>
  <w:endnote w:type="continuationSeparator" w:id="0">
    <w:p w:rsidR="007E1E85" w:rsidRDefault="007E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2672"/>
      <w:docPartObj>
        <w:docPartGallery w:val="Page Numbers (Bottom of Page)"/>
        <w:docPartUnique/>
      </w:docPartObj>
    </w:sdtPr>
    <w:sdtEndPr/>
    <w:sdtContent>
      <w:p w:rsidR="007F0DB3" w:rsidRDefault="002D57CA">
        <w:pPr>
          <w:pStyle w:val="a6"/>
          <w:jc w:val="right"/>
        </w:pPr>
        <w:r>
          <w:rPr>
            <w:lang w:bidi="en-US"/>
          </w:rPr>
          <w:fldChar w:fldCharType="begin"/>
        </w:r>
        <w:r w:rsidR="007E5797">
          <w:rPr>
            <w:lang w:bidi="en-US"/>
          </w:rPr>
          <w:instrText xml:space="preserve"> PAGE   \* MERGEFORMAT </w:instrText>
        </w:r>
        <w:r>
          <w:rPr>
            <w:lang w:bidi="en-US"/>
          </w:rPr>
          <w:fldChar w:fldCharType="separate"/>
        </w:r>
        <w:r w:rsidR="005B5E60">
          <w:rPr>
            <w:noProof/>
            <w:lang w:bidi="en-US"/>
          </w:rPr>
          <w:t>2</w:t>
        </w:r>
        <w:r>
          <w:rPr>
            <w:noProof/>
            <w:lang w:bidi="en-US"/>
          </w:rPr>
          <w:fldChar w:fldCharType="end"/>
        </w:r>
      </w:p>
    </w:sdtContent>
  </w:sdt>
  <w:p w:rsidR="007F0DB3" w:rsidRDefault="007F0D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85" w:rsidRDefault="007E1E85">
      <w:r>
        <w:separator/>
      </w:r>
    </w:p>
  </w:footnote>
  <w:footnote w:type="continuationSeparator" w:id="0">
    <w:p w:rsidR="007E1E85" w:rsidRDefault="007E1E85">
      <w:r>
        <w:continuationSeparator/>
      </w:r>
    </w:p>
  </w:footnote>
  <w:footnote w:id="1">
    <w:p w:rsidR="00FE1E8A" w:rsidRDefault="00FE1E8A" w:rsidP="00FE1E8A">
      <w:pPr>
        <w:pStyle w:val="ad"/>
      </w:pPr>
      <w:r>
        <w:rPr>
          <w:rStyle w:val="af"/>
          <w:lang w:bidi="en-US"/>
        </w:rPr>
        <w:footnoteRef/>
      </w:r>
      <w:r w:rsidR="00F15696">
        <w:rPr>
          <w:lang w:bidi="en-US"/>
        </w:rPr>
        <w:t xml:space="preserve"> </w:t>
      </w:r>
      <w:r w:rsidRPr="00371DC7">
        <w:rPr>
          <w:sz w:val="16"/>
          <w:szCs w:val="16"/>
          <w:lang w:bidi="en-US"/>
        </w:rPr>
        <w:t xml:space="preserve">For </w:t>
      </w:r>
      <w:r w:rsidR="006F39D9">
        <w:rPr>
          <w:sz w:val="16"/>
          <w:szCs w:val="16"/>
          <w:lang w:bidi="en-US"/>
        </w:rPr>
        <w:t xml:space="preserve">legal entities </w:t>
      </w:r>
      <w:r w:rsidRPr="00371DC7">
        <w:rPr>
          <w:sz w:val="16"/>
          <w:szCs w:val="16"/>
          <w:lang w:bidi="en-US"/>
        </w:rPr>
        <w:t>and financial institutions.</w:t>
      </w:r>
      <w:r w:rsidR="00F15696">
        <w:rPr>
          <w:sz w:val="16"/>
          <w:szCs w:val="16"/>
          <w:lang w:bidi="en-US"/>
        </w:rPr>
        <w:t xml:space="preserve"> </w:t>
      </w:r>
      <w:r w:rsidRPr="00371DC7">
        <w:rPr>
          <w:sz w:val="16"/>
          <w:szCs w:val="16"/>
          <w:lang w:bidi="en-US"/>
        </w:rPr>
        <w:t xml:space="preserve">The Central counterparty is the </w:t>
      </w:r>
      <w:r w:rsidR="006F39D9" w:rsidRPr="00DE6E8C">
        <w:rPr>
          <w:rFonts w:cs="Arial"/>
          <w:sz w:val="16"/>
          <w:szCs w:val="16"/>
        </w:rPr>
        <w:t xml:space="preserve">Central Counterparty </w:t>
      </w:r>
      <w:r w:rsidRPr="00371DC7">
        <w:rPr>
          <w:sz w:val="16"/>
          <w:szCs w:val="16"/>
          <w:lang w:bidi="en-US"/>
        </w:rPr>
        <w:t>National Clearing Centr</w:t>
      </w:r>
      <w:r w:rsidR="006F39D9">
        <w:rPr>
          <w:sz w:val="16"/>
          <w:szCs w:val="16"/>
          <w:lang w:bidi="en-US"/>
        </w:rPr>
        <w:t>e (</w:t>
      </w:r>
      <w:r w:rsidR="006F39D9" w:rsidRPr="006F39D9">
        <w:rPr>
          <w:sz w:val="16"/>
        </w:rPr>
        <w:t>Joint-</w:t>
      </w:r>
      <w:r w:rsidR="006F39D9">
        <w:rPr>
          <w:rFonts w:cs="Arial"/>
          <w:sz w:val="16"/>
          <w:szCs w:val="16"/>
        </w:rPr>
        <w:t>Stock</w:t>
      </w:r>
      <w:r w:rsidR="006F39D9" w:rsidRPr="006F39D9">
        <w:rPr>
          <w:sz w:val="16"/>
        </w:rPr>
        <w:t xml:space="preserve"> company</w:t>
      </w:r>
      <w:r w:rsidR="006F39D9">
        <w:rPr>
          <w:sz w:val="16"/>
        </w:rPr>
        <w:t>)</w:t>
      </w:r>
      <w:r w:rsidR="006F39D9">
        <w:rPr>
          <w:sz w:val="16"/>
          <w:szCs w:val="16"/>
          <w:lang w:bidi="en-US"/>
        </w:rPr>
        <w:t>.</w:t>
      </w:r>
    </w:p>
  </w:footnote>
  <w:footnote w:id="2">
    <w:p w:rsidR="00A817E4" w:rsidRDefault="00A817E4" w:rsidP="00A817E4">
      <w:pPr>
        <w:pStyle w:val="ad"/>
      </w:pPr>
      <w:r>
        <w:rPr>
          <w:rStyle w:val="af"/>
          <w:lang w:bidi="en-US"/>
        </w:rPr>
        <w:t>2</w:t>
      </w:r>
      <w:r w:rsidR="00F15696">
        <w:rPr>
          <w:rStyle w:val="af"/>
          <w:lang w:bidi="en-US"/>
        </w:rPr>
        <w:t xml:space="preserve"> </w:t>
      </w:r>
      <w:r w:rsidRPr="00F62786">
        <w:rPr>
          <w:sz w:val="16"/>
          <w:szCs w:val="16"/>
          <w:lang w:bidi="en-US"/>
        </w:rPr>
        <w:t>PJSC</w:t>
      </w:r>
      <w:r w:rsidR="00DD66E0">
        <w:rPr>
          <w:sz w:val="16"/>
          <w:szCs w:val="16"/>
          <w:lang w:bidi="en-US"/>
        </w:rPr>
        <w:t xml:space="preserve"> </w:t>
      </w:r>
      <w:r w:rsidR="00DD66E0" w:rsidRPr="00F62786">
        <w:rPr>
          <w:sz w:val="16"/>
          <w:szCs w:val="16"/>
          <w:lang w:bidi="en-US"/>
        </w:rPr>
        <w:t>ROSBANK</w:t>
      </w:r>
      <w:r w:rsidRPr="00F62786">
        <w:rPr>
          <w:sz w:val="16"/>
          <w:szCs w:val="16"/>
          <w:lang w:bidi="en-US"/>
        </w:rPr>
        <w:t>, 34 Mashy Poryvaevoy Str., 107078, Moscow.</w:t>
      </w:r>
    </w:p>
  </w:footnote>
  <w:footnote w:id="3">
    <w:p w:rsidR="00A817E4" w:rsidRDefault="00A817E4" w:rsidP="00A817E4">
      <w:pPr>
        <w:pStyle w:val="ad"/>
      </w:pPr>
      <w:r>
        <w:rPr>
          <w:rStyle w:val="af"/>
          <w:lang w:bidi="en-US"/>
        </w:rPr>
        <w:t xml:space="preserve">3 </w:t>
      </w:r>
      <w:r w:rsidRPr="00284939">
        <w:rPr>
          <w:sz w:val="16"/>
          <w:szCs w:val="16"/>
          <w:lang w:bidi="en-US"/>
        </w:rPr>
        <w:t>Third parties are understood to be persons who have entered into an Agreement with the Bank, ensuring compliance with the requirements of the Federal Law No. 152-FZ “On personal data” from July 27,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17" w:rsidRDefault="00D61017">
    <w:pPr>
      <w:pStyle w:val="a3"/>
    </w:pPr>
    <w:r>
      <w:rPr>
        <w:noProof/>
        <w:lang w:val="ru-RU" w:eastAsia="ru-RU"/>
      </w:rPr>
      <w:drawing>
        <wp:inline distT="0" distB="0" distL="0" distR="0" wp14:anchorId="211DA660" wp14:editId="09846361">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35B"/>
    <w:multiLevelType w:val="hybridMultilevel"/>
    <w:tmpl w:val="DAF0A6A0"/>
    <w:lvl w:ilvl="0" w:tplc="04190001">
      <w:start w:val="1"/>
      <w:numFmt w:val="bullet"/>
      <w:lvlText w:val=""/>
      <w:lvlJc w:val="left"/>
      <w:pPr>
        <w:ind w:left="1068" w:hanging="360"/>
      </w:pPr>
      <w:rPr>
        <w:rFonts w:ascii="Symbol" w:hAnsi="Symbo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E92044"/>
    <w:multiLevelType w:val="hybridMultilevel"/>
    <w:tmpl w:val="1BA8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915605"/>
    <w:multiLevelType w:val="hybridMultilevel"/>
    <w:tmpl w:val="8D10093A"/>
    <w:lvl w:ilvl="0" w:tplc="10A29938">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00"/>
    <w:rsid w:val="0004361E"/>
    <w:rsid w:val="00046D70"/>
    <w:rsid w:val="00055ABF"/>
    <w:rsid w:val="000672AF"/>
    <w:rsid w:val="00077983"/>
    <w:rsid w:val="00080B48"/>
    <w:rsid w:val="00081FE5"/>
    <w:rsid w:val="000830C4"/>
    <w:rsid w:val="000849DC"/>
    <w:rsid w:val="00090D8C"/>
    <w:rsid w:val="00093DB5"/>
    <w:rsid w:val="000A711F"/>
    <w:rsid w:val="000B1511"/>
    <w:rsid w:val="000C0678"/>
    <w:rsid w:val="000C671F"/>
    <w:rsid w:val="000D5DB4"/>
    <w:rsid w:val="000D74D3"/>
    <w:rsid w:val="000E2A19"/>
    <w:rsid w:val="001220EF"/>
    <w:rsid w:val="001421B0"/>
    <w:rsid w:val="00146408"/>
    <w:rsid w:val="001468A2"/>
    <w:rsid w:val="0015532A"/>
    <w:rsid w:val="00157ED4"/>
    <w:rsid w:val="00161A08"/>
    <w:rsid w:val="00163DAC"/>
    <w:rsid w:val="00164312"/>
    <w:rsid w:val="00190DDA"/>
    <w:rsid w:val="00191A12"/>
    <w:rsid w:val="001A3A25"/>
    <w:rsid w:val="001B0921"/>
    <w:rsid w:val="001C6A4F"/>
    <w:rsid w:val="001F3537"/>
    <w:rsid w:val="00212E28"/>
    <w:rsid w:val="00240EBD"/>
    <w:rsid w:val="0026166C"/>
    <w:rsid w:val="0026617E"/>
    <w:rsid w:val="00274EE6"/>
    <w:rsid w:val="00281D33"/>
    <w:rsid w:val="0028471A"/>
    <w:rsid w:val="00286F63"/>
    <w:rsid w:val="002B0B9F"/>
    <w:rsid w:val="002D57CA"/>
    <w:rsid w:val="002E42A9"/>
    <w:rsid w:val="002E4B1E"/>
    <w:rsid w:val="002F1A26"/>
    <w:rsid w:val="002F6FD5"/>
    <w:rsid w:val="002F747D"/>
    <w:rsid w:val="00302A67"/>
    <w:rsid w:val="0031236D"/>
    <w:rsid w:val="003207A1"/>
    <w:rsid w:val="003237C8"/>
    <w:rsid w:val="003321F1"/>
    <w:rsid w:val="00332DEA"/>
    <w:rsid w:val="0034087D"/>
    <w:rsid w:val="00343F39"/>
    <w:rsid w:val="00371DC7"/>
    <w:rsid w:val="00372264"/>
    <w:rsid w:val="00384328"/>
    <w:rsid w:val="00384706"/>
    <w:rsid w:val="0039784E"/>
    <w:rsid w:val="003A6476"/>
    <w:rsid w:val="003A6C1B"/>
    <w:rsid w:val="003B6094"/>
    <w:rsid w:val="003C1E82"/>
    <w:rsid w:val="003E0A78"/>
    <w:rsid w:val="003E109A"/>
    <w:rsid w:val="003F3AAB"/>
    <w:rsid w:val="0041118A"/>
    <w:rsid w:val="00423774"/>
    <w:rsid w:val="0042578E"/>
    <w:rsid w:val="00436778"/>
    <w:rsid w:val="004417DD"/>
    <w:rsid w:val="004650CA"/>
    <w:rsid w:val="00470C10"/>
    <w:rsid w:val="00470D90"/>
    <w:rsid w:val="00477B43"/>
    <w:rsid w:val="005014B3"/>
    <w:rsid w:val="0051130A"/>
    <w:rsid w:val="005233EA"/>
    <w:rsid w:val="00527AFA"/>
    <w:rsid w:val="00534F5F"/>
    <w:rsid w:val="00536443"/>
    <w:rsid w:val="00572C55"/>
    <w:rsid w:val="005765AC"/>
    <w:rsid w:val="00581412"/>
    <w:rsid w:val="00593BA6"/>
    <w:rsid w:val="005B5E60"/>
    <w:rsid w:val="005D1EC0"/>
    <w:rsid w:val="005D5986"/>
    <w:rsid w:val="005E147D"/>
    <w:rsid w:val="005E3784"/>
    <w:rsid w:val="00613E65"/>
    <w:rsid w:val="00615196"/>
    <w:rsid w:val="00623239"/>
    <w:rsid w:val="00623D14"/>
    <w:rsid w:val="0063677D"/>
    <w:rsid w:val="0064047B"/>
    <w:rsid w:val="00641431"/>
    <w:rsid w:val="00655A61"/>
    <w:rsid w:val="00660C6F"/>
    <w:rsid w:val="00662A5F"/>
    <w:rsid w:val="00670DB1"/>
    <w:rsid w:val="00681DC8"/>
    <w:rsid w:val="00684731"/>
    <w:rsid w:val="00691F29"/>
    <w:rsid w:val="006A58AF"/>
    <w:rsid w:val="006C4D55"/>
    <w:rsid w:val="006C5102"/>
    <w:rsid w:val="006E0F56"/>
    <w:rsid w:val="006E239E"/>
    <w:rsid w:val="006E5343"/>
    <w:rsid w:val="006E72AA"/>
    <w:rsid w:val="006F3378"/>
    <w:rsid w:val="006F39D9"/>
    <w:rsid w:val="006F58DF"/>
    <w:rsid w:val="00734E15"/>
    <w:rsid w:val="0074791E"/>
    <w:rsid w:val="00751833"/>
    <w:rsid w:val="00766BE2"/>
    <w:rsid w:val="007D7CCC"/>
    <w:rsid w:val="007E1B53"/>
    <w:rsid w:val="007E1E85"/>
    <w:rsid w:val="007E5797"/>
    <w:rsid w:val="007F0DB3"/>
    <w:rsid w:val="007F1B31"/>
    <w:rsid w:val="00803104"/>
    <w:rsid w:val="00811316"/>
    <w:rsid w:val="00811D6D"/>
    <w:rsid w:val="008304FE"/>
    <w:rsid w:val="00845063"/>
    <w:rsid w:val="008455B7"/>
    <w:rsid w:val="00850900"/>
    <w:rsid w:val="00850BE2"/>
    <w:rsid w:val="008626B3"/>
    <w:rsid w:val="0086712A"/>
    <w:rsid w:val="0087026B"/>
    <w:rsid w:val="00874E02"/>
    <w:rsid w:val="00877A09"/>
    <w:rsid w:val="008B4361"/>
    <w:rsid w:val="008F3CF2"/>
    <w:rsid w:val="00916997"/>
    <w:rsid w:val="00933F9F"/>
    <w:rsid w:val="009365C1"/>
    <w:rsid w:val="00952F81"/>
    <w:rsid w:val="00954FBD"/>
    <w:rsid w:val="00956F64"/>
    <w:rsid w:val="009673A6"/>
    <w:rsid w:val="00974948"/>
    <w:rsid w:val="0098001F"/>
    <w:rsid w:val="009807BE"/>
    <w:rsid w:val="00995D76"/>
    <w:rsid w:val="009A4D18"/>
    <w:rsid w:val="009A7062"/>
    <w:rsid w:val="009C02DA"/>
    <w:rsid w:val="009C66DE"/>
    <w:rsid w:val="009F3A30"/>
    <w:rsid w:val="009F572B"/>
    <w:rsid w:val="00A13103"/>
    <w:rsid w:val="00A17D00"/>
    <w:rsid w:val="00A22137"/>
    <w:rsid w:val="00A258D5"/>
    <w:rsid w:val="00A30228"/>
    <w:rsid w:val="00A30427"/>
    <w:rsid w:val="00A34AA4"/>
    <w:rsid w:val="00A45861"/>
    <w:rsid w:val="00A617DF"/>
    <w:rsid w:val="00A65C97"/>
    <w:rsid w:val="00A817E4"/>
    <w:rsid w:val="00AC6925"/>
    <w:rsid w:val="00AF1300"/>
    <w:rsid w:val="00AF505E"/>
    <w:rsid w:val="00B04E94"/>
    <w:rsid w:val="00B2497A"/>
    <w:rsid w:val="00B25D56"/>
    <w:rsid w:val="00B264C8"/>
    <w:rsid w:val="00B30C6F"/>
    <w:rsid w:val="00B7399D"/>
    <w:rsid w:val="00BB2870"/>
    <w:rsid w:val="00BE2591"/>
    <w:rsid w:val="00BF78F6"/>
    <w:rsid w:val="00C000AD"/>
    <w:rsid w:val="00C04C12"/>
    <w:rsid w:val="00C067A0"/>
    <w:rsid w:val="00C1160C"/>
    <w:rsid w:val="00C11912"/>
    <w:rsid w:val="00C14CED"/>
    <w:rsid w:val="00C168EA"/>
    <w:rsid w:val="00C16AAB"/>
    <w:rsid w:val="00C45DB1"/>
    <w:rsid w:val="00C5086A"/>
    <w:rsid w:val="00C53D4A"/>
    <w:rsid w:val="00C90D28"/>
    <w:rsid w:val="00CC430E"/>
    <w:rsid w:val="00CD1EF9"/>
    <w:rsid w:val="00CD2BAB"/>
    <w:rsid w:val="00D05333"/>
    <w:rsid w:val="00D14FF8"/>
    <w:rsid w:val="00D3037C"/>
    <w:rsid w:val="00D32BE3"/>
    <w:rsid w:val="00D357F9"/>
    <w:rsid w:val="00D412E9"/>
    <w:rsid w:val="00D457DA"/>
    <w:rsid w:val="00D61017"/>
    <w:rsid w:val="00D7174E"/>
    <w:rsid w:val="00D77A31"/>
    <w:rsid w:val="00DC0A4D"/>
    <w:rsid w:val="00DD66E0"/>
    <w:rsid w:val="00DE1CA2"/>
    <w:rsid w:val="00DE65AC"/>
    <w:rsid w:val="00DE6F8D"/>
    <w:rsid w:val="00DF2B71"/>
    <w:rsid w:val="00E151B2"/>
    <w:rsid w:val="00E16FA7"/>
    <w:rsid w:val="00E34ABE"/>
    <w:rsid w:val="00E54B69"/>
    <w:rsid w:val="00E74607"/>
    <w:rsid w:val="00E75C10"/>
    <w:rsid w:val="00E84A66"/>
    <w:rsid w:val="00E922E7"/>
    <w:rsid w:val="00EA76A9"/>
    <w:rsid w:val="00EB3115"/>
    <w:rsid w:val="00EB546A"/>
    <w:rsid w:val="00EC2941"/>
    <w:rsid w:val="00ED4E1C"/>
    <w:rsid w:val="00EF3683"/>
    <w:rsid w:val="00EF6647"/>
    <w:rsid w:val="00F064A2"/>
    <w:rsid w:val="00F15696"/>
    <w:rsid w:val="00F23CEB"/>
    <w:rsid w:val="00F72A0E"/>
    <w:rsid w:val="00F81A6D"/>
    <w:rsid w:val="00FA6754"/>
    <w:rsid w:val="00FB37EA"/>
    <w:rsid w:val="00FB4F73"/>
    <w:rsid w:val="00FE1E8A"/>
    <w:rsid w:val="00FE6A2C"/>
    <w:rsid w:val="00FF62AE"/>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3C6554"/>
  <w15:docId w15:val="{A7C03A98-0D70-4C84-AB61-374B6AE9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03"/>
    <w:pPr>
      <w:jc w:val="both"/>
    </w:pPr>
    <w:rPr>
      <w:rFonts w:ascii="Arial" w:hAnsi="Arial"/>
      <w:sz w:val="22"/>
      <w:szCs w:val="24"/>
      <w:lang w:eastAsia="en-US"/>
    </w:rPr>
  </w:style>
  <w:style w:type="paragraph" w:styleId="2">
    <w:name w:val="heading 2"/>
    <w:basedOn w:val="a"/>
    <w:next w:val="a"/>
    <w:link w:val="20"/>
    <w:uiPriority w:val="99"/>
    <w:qFormat/>
    <w:rsid w:val="0063677D"/>
    <w:pPr>
      <w:keepNext/>
      <w:numPr>
        <w:ilvl w:val="12"/>
      </w:numPr>
      <w:jc w:val="center"/>
      <w:outlineLvl w:val="1"/>
    </w:pPr>
    <w:rPr>
      <w:rFonts w:ascii="Times New Roman" w:hAnsi="Times New Roman"/>
      <w:b/>
      <w:bCs/>
      <w:sz w:val="24"/>
    </w:rPr>
  </w:style>
  <w:style w:type="paragraph" w:styleId="3">
    <w:name w:val="heading 3"/>
    <w:basedOn w:val="a"/>
    <w:next w:val="a"/>
    <w:link w:val="30"/>
    <w:semiHidden/>
    <w:unhideWhenUsed/>
    <w:qFormat/>
    <w:rsid w:val="00F81A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103"/>
    <w:pPr>
      <w:tabs>
        <w:tab w:val="center" w:pos="4677"/>
        <w:tab w:val="right" w:pos="9355"/>
      </w:tabs>
    </w:pPr>
  </w:style>
  <w:style w:type="paragraph" w:styleId="a5">
    <w:name w:val="Balloon Text"/>
    <w:basedOn w:val="a"/>
    <w:semiHidden/>
    <w:rsid w:val="00343F39"/>
    <w:rPr>
      <w:rFonts w:ascii="Tahoma" w:hAnsi="Tahoma" w:cs="Tahoma"/>
      <w:sz w:val="16"/>
      <w:szCs w:val="16"/>
    </w:rPr>
  </w:style>
  <w:style w:type="paragraph" w:styleId="a6">
    <w:name w:val="footer"/>
    <w:basedOn w:val="a"/>
    <w:link w:val="a7"/>
    <w:uiPriority w:val="99"/>
    <w:rsid w:val="001220EF"/>
    <w:pPr>
      <w:tabs>
        <w:tab w:val="center" w:pos="4677"/>
        <w:tab w:val="right" w:pos="9355"/>
      </w:tabs>
    </w:pPr>
  </w:style>
  <w:style w:type="character" w:customStyle="1" w:styleId="a7">
    <w:name w:val="Нижний колонтитул Знак"/>
    <w:link w:val="a6"/>
    <w:uiPriority w:val="99"/>
    <w:rsid w:val="001220EF"/>
    <w:rPr>
      <w:rFonts w:ascii="Arial" w:hAnsi="Arial"/>
      <w:sz w:val="22"/>
      <w:szCs w:val="24"/>
      <w:lang w:eastAsia="en-US"/>
    </w:rPr>
  </w:style>
  <w:style w:type="character" w:customStyle="1" w:styleId="a4">
    <w:name w:val="Верхний колонтитул Знак"/>
    <w:link w:val="a3"/>
    <w:uiPriority w:val="99"/>
    <w:rsid w:val="001220EF"/>
    <w:rPr>
      <w:rFonts w:ascii="Arial" w:hAnsi="Arial"/>
      <w:sz w:val="22"/>
      <w:szCs w:val="24"/>
      <w:lang w:eastAsia="en-US"/>
    </w:rPr>
  </w:style>
  <w:style w:type="character" w:styleId="a8">
    <w:name w:val="annotation reference"/>
    <w:basedOn w:val="a0"/>
    <w:uiPriority w:val="99"/>
    <w:rsid w:val="00384328"/>
    <w:rPr>
      <w:sz w:val="16"/>
      <w:szCs w:val="16"/>
    </w:rPr>
  </w:style>
  <w:style w:type="paragraph" w:styleId="a9">
    <w:name w:val="annotation text"/>
    <w:basedOn w:val="a"/>
    <w:link w:val="aa"/>
    <w:uiPriority w:val="99"/>
    <w:rsid w:val="00384328"/>
    <w:rPr>
      <w:sz w:val="20"/>
      <w:szCs w:val="20"/>
    </w:rPr>
  </w:style>
  <w:style w:type="character" w:customStyle="1" w:styleId="aa">
    <w:name w:val="Текст примечания Знак"/>
    <w:basedOn w:val="a0"/>
    <w:link w:val="a9"/>
    <w:uiPriority w:val="99"/>
    <w:rsid w:val="00384328"/>
    <w:rPr>
      <w:rFonts w:ascii="Arial" w:hAnsi="Arial"/>
      <w:lang w:eastAsia="en-US"/>
    </w:rPr>
  </w:style>
  <w:style w:type="paragraph" w:styleId="ab">
    <w:name w:val="annotation subject"/>
    <w:basedOn w:val="a9"/>
    <w:next w:val="a9"/>
    <w:link w:val="ac"/>
    <w:rsid w:val="00384328"/>
    <w:rPr>
      <w:b/>
      <w:bCs/>
    </w:rPr>
  </w:style>
  <w:style w:type="character" w:customStyle="1" w:styleId="ac">
    <w:name w:val="Тема примечания Знак"/>
    <w:basedOn w:val="aa"/>
    <w:link w:val="ab"/>
    <w:rsid w:val="00384328"/>
    <w:rPr>
      <w:rFonts w:ascii="Arial" w:hAnsi="Arial"/>
      <w:b/>
      <w:bCs/>
      <w:lang w:eastAsia="en-US"/>
    </w:rPr>
  </w:style>
  <w:style w:type="paragraph" w:styleId="ad">
    <w:name w:val="footnote text"/>
    <w:basedOn w:val="a"/>
    <w:link w:val="ae"/>
    <w:uiPriority w:val="99"/>
    <w:rsid w:val="00E922E7"/>
    <w:rPr>
      <w:sz w:val="20"/>
      <w:szCs w:val="20"/>
    </w:rPr>
  </w:style>
  <w:style w:type="character" w:customStyle="1" w:styleId="ae">
    <w:name w:val="Текст сноски Знак"/>
    <w:basedOn w:val="a0"/>
    <w:link w:val="ad"/>
    <w:uiPriority w:val="99"/>
    <w:rsid w:val="00E922E7"/>
    <w:rPr>
      <w:rFonts w:ascii="Arial" w:hAnsi="Arial"/>
      <w:lang w:eastAsia="en-US"/>
    </w:rPr>
  </w:style>
  <w:style w:type="character" w:styleId="af">
    <w:name w:val="footnote reference"/>
    <w:basedOn w:val="a0"/>
    <w:uiPriority w:val="99"/>
    <w:rsid w:val="00E922E7"/>
    <w:rPr>
      <w:vertAlign w:val="superscript"/>
    </w:rPr>
  </w:style>
  <w:style w:type="paragraph" w:customStyle="1" w:styleId="Default">
    <w:name w:val="Default"/>
    <w:rsid w:val="00BE2591"/>
    <w:pPr>
      <w:autoSpaceDE w:val="0"/>
      <w:autoSpaceDN w:val="0"/>
      <w:adjustRightInd w:val="0"/>
    </w:pPr>
    <w:rPr>
      <w:rFonts w:ascii="Garamond" w:hAnsi="Garamond" w:cs="Garamond"/>
      <w:color w:val="000000"/>
      <w:sz w:val="24"/>
      <w:szCs w:val="24"/>
    </w:rPr>
  </w:style>
  <w:style w:type="table" w:styleId="af0">
    <w:name w:val="Table Grid"/>
    <w:basedOn w:val="a1"/>
    <w:rsid w:val="00BE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45861"/>
    <w:pPr>
      <w:ind w:left="720"/>
      <w:contextualSpacing/>
    </w:pPr>
  </w:style>
  <w:style w:type="paragraph" w:styleId="21">
    <w:name w:val="Body Text 2"/>
    <w:basedOn w:val="a"/>
    <w:link w:val="22"/>
    <w:uiPriority w:val="99"/>
    <w:rsid w:val="0031236D"/>
    <w:rPr>
      <w:rFonts w:cs="Arial"/>
      <w:i/>
      <w:iCs/>
      <w:sz w:val="20"/>
      <w:szCs w:val="20"/>
      <w:lang w:eastAsia="ru-RU"/>
    </w:rPr>
  </w:style>
  <w:style w:type="character" w:customStyle="1" w:styleId="22">
    <w:name w:val="Основной текст 2 Знак"/>
    <w:basedOn w:val="a0"/>
    <w:link w:val="21"/>
    <w:uiPriority w:val="99"/>
    <w:rsid w:val="0031236D"/>
    <w:rPr>
      <w:rFonts w:ascii="Arial" w:hAnsi="Arial" w:cs="Arial"/>
      <w:i/>
      <w:iCs/>
    </w:rPr>
  </w:style>
  <w:style w:type="paragraph" w:styleId="af2">
    <w:name w:val="Subtitle"/>
    <w:basedOn w:val="a"/>
    <w:next w:val="a"/>
    <w:link w:val="af3"/>
    <w:uiPriority w:val="11"/>
    <w:qFormat/>
    <w:rsid w:val="00641431"/>
    <w:pPr>
      <w:numPr>
        <w:ilvl w:val="1"/>
      </w:numPr>
      <w:spacing w:after="200" w:line="276" w:lineRule="auto"/>
      <w:jc w:val="left"/>
    </w:pPr>
    <w:rPr>
      <w:rFonts w:eastAsiaTheme="majorEastAsia" w:cstheme="majorBidi"/>
      <w:i/>
      <w:iCs/>
      <w:color w:val="4F81BD" w:themeColor="accent1"/>
      <w:spacing w:val="15"/>
      <w:sz w:val="20"/>
    </w:rPr>
  </w:style>
  <w:style w:type="character" w:customStyle="1" w:styleId="af3">
    <w:name w:val="Подзаголовок Знак"/>
    <w:basedOn w:val="a0"/>
    <w:link w:val="af2"/>
    <w:uiPriority w:val="11"/>
    <w:rsid w:val="00641431"/>
    <w:rPr>
      <w:rFonts w:ascii="Arial" w:eastAsiaTheme="majorEastAsia" w:hAnsi="Arial" w:cstheme="majorBidi"/>
      <w:i/>
      <w:iCs/>
      <w:color w:val="4F81BD" w:themeColor="accent1"/>
      <w:spacing w:val="15"/>
      <w:szCs w:val="24"/>
      <w:lang w:eastAsia="en-US"/>
    </w:rPr>
  </w:style>
  <w:style w:type="character" w:customStyle="1" w:styleId="20">
    <w:name w:val="Заголовок 2 Знак"/>
    <w:basedOn w:val="a0"/>
    <w:link w:val="2"/>
    <w:uiPriority w:val="99"/>
    <w:rsid w:val="0063677D"/>
    <w:rPr>
      <w:b/>
      <w:bCs/>
      <w:sz w:val="24"/>
      <w:szCs w:val="24"/>
      <w:lang w:eastAsia="en-US"/>
    </w:rPr>
  </w:style>
  <w:style w:type="paragraph" w:styleId="af4">
    <w:name w:val="Body Text Indent"/>
    <w:basedOn w:val="a"/>
    <w:link w:val="af5"/>
    <w:rsid w:val="00E75C10"/>
    <w:pPr>
      <w:spacing w:after="120"/>
      <w:ind w:left="283"/>
    </w:pPr>
  </w:style>
  <w:style w:type="character" w:customStyle="1" w:styleId="af5">
    <w:name w:val="Основной текст с отступом Знак"/>
    <w:basedOn w:val="a0"/>
    <w:link w:val="af4"/>
    <w:rsid w:val="00E75C10"/>
    <w:rPr>
      <w:rFonts w:ascii="Arial" w:hAnsi="Arial"/>
      <w:sz w:val="22"/>
      <w:szCs w:val="24"/>
      <w:lang w:eastAsia="en-US"/>
    </w:rPr>
  </w:style>
  <w:style w:type="character" w:customStyle="1" w:styleId="30">
    <w:name w:val="Заголовок 3 Знак"/>
    <w:basedOn w:val="a0"/>
    <w:link w:val="3"/>
    <w:semiHidden/>
    <w:rsid w:val="00F81A6D"/>
    <w:rPr>
      <w:rFonts w:asciiTheme="majorHAnsi" w:eastAsiaTheme="majorEastAsia" w:hAnsiTheme="majorHAnsi" w:cstheme="majorBidi"/>
      <w:b/>
      <w:bCs/>
      <w:color w:val="4F81BD" w:themeColor="accent1"/>
      <w:sz w:val="22"/>
      <w:szCs w:val="24"/>
      <w:lang w:eastAsia="en-US"/>
    </w:rPr>
  </w:style>
  <w:style w:type="paragraph" w:styleId="af6">
    <w:name w:val="Revision"/>
    <w:hidden/>
    <w:uiPriority w:val="99"/>
    <w:semiHidden/>
    <w:rsid w:val="006E72A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0MjowM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04E8-D861-4F86-8A2F-8C8761C541B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06890B9-C53A-4DB5-A8DC-3987B4E03A3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0E56E32-2AF8-403C-B7C8-F2499E9C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863</Words>
  <Characters>4920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10</vt:lpstr>
      <vt:lpstr>Приложение № 10</vt:lpstr>
    </vt:vector>
  </TitlesOfParts>
  <Company>Bank</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Enukov_DO</dc:creator>
  <dc:description>C0 - Public |j,llsaj12398**C0)knasdals|</dc:description>
  <cp:lastModifiedBy>Fayzullin Ruslan Legal</cp:lastModifiedBy>
  <cp:revision>12</cp:revision>
  <cp:lastPrinted>2018-11-07T08:01:00Z</cp:lastPrinted>
  <dcterms:created xsi:type="dcterms:W3CDTF">2019-06-10T08:26:00Z</dcterms:created>
  <dcterms:modified xsi:type="dcterms:W3CDTF">2019-07-30T14:41:00Z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d184515a-d426-454b-8bd4-033b66568b8b</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{1E4D04E8-D861-4F86-8A2F-8C8761C541BD}</vt:lpwstr>
  </property>
</Properties>
</file>