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34B" w:rsidRPr="00464523" w:rsidRDefault="00ED034B" w:rsidP="00ED034B">
      <w:pPr>
        <w:pStyle w:val="2"/>
        <w:keepNext w:val="0"/>
        <w:pBdr>
          <w:top w:val="single" w:sz="4" w:space="1" w:color="auto"/>
          <w:left w:val="single" w:sz="4" w:space="4" w:color="auto"/>
          <w:bottom w:val="single" w:sz="4" w:space="1" w:color="auto"/>
          <w:right w:val="single" w:sz="4" w:space="4" w:color="auto"/>
        </w:pBdr>
        <w:ind w:left="8080"/>
        <w:rPr>
          <w:rFonts w:ascii="Arial" w:hAnsi="Arial" w:cs="Arial"/>
          <w:b w:val="0"/>
          <w:sz w:val="20"/>
          <w:szCs w:val="20"/>
        </w:rPr>
      </w:pPr>
      <w:r w:rsidRPr="002900AA">
        <w:rPr>
          <w:rFonts w:ascii="Arial" w:hAnsi="Arial" w:cs="Arial"/>
          <w:b w:val="0"/>
          <w:sz w:val="20"/>
          <w:szCs w:val="20"/>
        </w:rPr>
        <w:t>ТФ-2108-40</w:t>
      </w:r>
      <w:r w:rsidRPr="00464523">
        <w:rPr>
          <w:rFonts w:ascii="Arial" w:hAnsi="Arial" w:cs="Arial"/>
          <w:b w:val="0"/>
          <w:sz w:val="20"/>
          <w:szCs w:val="20"/>
        </w:rPr>
        <w:t>/5</w:t>
      </w:r>
    </w:p>
    <w:p w:rsidR="00480EC3" w:rsidRPr="00C076B2" w:rsidRDefault="00480EC3" w:rsidP="006D1203">
      <w:pPr>
        <w:pStyle w:val="Default"/>
        <w:jc w:val="center"/>
        <w:rPr>
          <w:rFonts w:ascii="Arial" w:hAnsi="Arial" w:cs="Arial"/>
          <w:b/>
          <w:bCs/>
          <w:color w:val="auto"/>
          <w:sz w:val="20"/>
          <w:szCs w:val="20"/>
        </w:rPr>
      </w:pPr>
    </w:p>
    <w:p w:rsidR="006D1203" w:rsidRPr="00C076B2" w:rsidRDefault="006D1203" w:rsidP="00F31570">
      <w:pPr>
        <w:pStyle w:val="Default"/>
        <w:jc w:val="center"/>
        <w:rPr>
          <w:rFonts w:ascii="Arial" w:hAnsi="Arial" w:cs="Arial"/>
          <w:color w:val="auto"/>
          <w:sz w:val="20"/>
          <w:szCs w:val="20"/>
        </w:rPr>
      </w:pPr>
    </w:p>
    <w:tbl>
      <w:tblPr>
        <w:tblW w:w="10491" w:type="dxa"/>
        <w:tblInd w:w="-885" w:type="dxa"/>
        <w:tblBorders>
          <w:top w:val="nil"/>
          <w:left w:val="nil"/>
          <w:bottom w:val="nil"/>
          <w:right w:val="nil"/>
        </w:tblBorders>
        <w:tblLayout w:type="fixed"/>
        <w:tblLook w:val="0000" w:firstRow="0" w:lastRow="0" w:firstColumn="0" w:lastColumn="0" w:noHBand="0" w:noVBand="0"/>
      </w:tblPr>
      <w:tblGrid>
        <w:gridCol w:w="5246"/>
        <w:gridCol w:w="5245"/>
      </w:tblGrid>
      <w:tr w:rsidR="00382A25" w:rsidRPr="00C076B2" w:rsidTr="00EE41AA">
        <w:trPr>
          <w:trHeight w:val="59"/>
        </w:trPr>
        <w:tc>
          <w:tcPr>
            <w:tcW w:w="10491" w:type="dxa"/>
            <w:gridSpan w:val="2"/>
            <w:tcBorders>
              <w:bottom w:val="nil"/>
            </w:tcBorders>
          </w:tcPr>
          <w:p w:rsidR="00382A25" w:rsidRPr="006C5E91" w:rsidRDefault="00382A25" w:rsidP="00382A25">
            <w:pPr>
              <w:pStyle w:val="Default"/>
              <w:jc w:val="center"/>
              <w:rPr>
                <w:rFonts w:ascii="Arial" w:hAnsi="Arial" w:cs="Arial"/>
                <w:color w:val="auto"/>
                <w:sz w:val="20"/>
                <w:szCs w:val="20"/>
              </w:rPr>
            </w:pPr>
            <w:r w:rsidRPr="00C076B2">
              <w:rPr>
                <w:rFonts w:ascii="Arial" w:hAnsi="Arial" w:cs="Arial"/>
                <w:b/>
                <w:bCs/>
                <w:color w:val="auto"/>
                <w:sz w:val="20"/>
                <w:szCs w:val="20"/>
              </w:rPr>
              <w:t>ЗАЯВЛЕНИЕ</w:t>
            </w:r>
            <w:r w:rsidRPr="006C5E91">
              <w:rPr>
                <w:rFonts w:ascii="Arial" w:hAnsi="Arial" w:cs="Arial"/>
                <w:b/>
                <w:bCs/>
                <w:color w:val="auto"/>
                <w:sz w:val="20"/>
                <w:szCs w:val="20"/>
              </w:rPr>
              <w:t xml:space="preserve"> / </w:t>
            </w:r>
            <w:r>
              <w:rPr>
                <w:rFonts w:ascii="Arial" w:hAnsi="Arial" w:cs="Arial"/>
                <w:b/>
                <w:bCs/>
                <w:color w:val="auto"/>
                <w:sz w:val="20"/>
                <w:szCs w:val="20"/>
                <w:lang w:val="en-US"/>
              </w:rPr>
              <w:t>APPLICATION</w:t>
            </w:r>
          </w:p>
          <w:p w:rsidR="00382A25" w:rsidRPr="00382A25" w:rsidRDefault="00382A25" w:rsidP="00382A25">
            <w:pPr>
              <w:pStyle w:val="Default"/>
              <w:jc w:val="center"/>
              <w:rPr>
                <w:rFonts w:ascii="Arial" w:hAnsi="Arial" w:cs="Arial"/>
                <w:b/>
                <w:bCs/>
                <w:color w:val="auto"/>
                <w:sz w:val="20"/>
                <w:szCs w:val="20"/>
              </w:rPr>
            </w:pPr>
            <w:r w:rsidRPr="00C076B2">
              <w:rPr>
                <w:rFonts w:ascii="Arial" w:hAnsi="Arial" w:cs="Arial"/>
                <w:b/>
                <w:bCs/>
                <w:color w:val="auto"/>
                <w:sz w:val="20"/>
                <w:szCs w:val="20"/>
              </w:rPr>
              <w:t>о присоединении к Регламенту брокерского обслуживания ПАО РОСБАНК</w:t>
            </w:r>
          </w:p>
          <w:p w:rsidR="00382A25" w:rsidRPr="0031782F" w:rsidRDefault="00382A25" w:rsidP="00382A25">
            <w:pPr>
              <w:pStyle w:val="Default"/>
              <w:jc w:val="center"/>
              <w:rPr>
                <w:rFonts w:ascii="Arial" w:hAnsi="Arial" w:cs="Arial"/>
                <w:color w:val="auto"/>
                <w:sz w:val="20"/>
                <w:szCs w:val="20"/>
                <w:lang w:val="en-US"/>
              </w:rPr>
            </w:pPr>
            <w:r w:rsidRPr="0031782F">
              <w:rPr>
                <w:rFonts w:ascii="Arial" w:hAnsi="Arial" w:cs="Arial"/>
                <w:bCs/>
                <w:color w:val="auto"/>
                <w:sz w:val="20"/>
                <w:szCs w:val="20"/>
                <w:lang w:val="en-US"/>
              </w:rPr>
              <w:t>of adherence to Brokerage terms and conditions of PJSC ROSBANK</w:t>
            </w:r>
          </w:p>
          <w:p w:rsidR="00382A25" w:rsidRDefault="00382A25" w:rsidP="00382A25">
            <w:pPr>
              <w:pStyle w:val="Default"/>
              <w:jc w:val="center"/>
              <w:rPr>
                <w:rFonts w:ascii="Arial" w:hAnsi="Arial" w:cs="Arial"/>
                <w:color w:val="auto"/>
                <w:sz w:val="20"/>
                <w:szCs w:val="20"/>
                <w:lang w:val="en-US"/>
              </w:rPr>
            </w:pPr>
            <w:r w:rsidRPr="00C076B2">
              <w:rPr>
                <w:rFonts w:ascii="Arial" w:hAnsi="Arial" w:cs="Arial"/>
                <w:color w:val="auto"/>
                <w:sz w:val="20"/>
                <w:szCs w:val="20"/>
              </w:rPr>
              <w:t>(для юридических лиц)</w:t>
            </w:r>
          </w:p>
          <w:p w:rsidR="00382A25" w:rsidRDefault="00382A25" w:rsidP="00382A25">
            <w:pPr>
              <w:pStyle w:val="Default"/>
              <w:jc w:val="center"/>
              <w:rPr>
                <w:rFonts w:ascii="Arial" w:hAnsi="Arial" w:cs="Arial"/>
                <w:b/>
                <w:bCs/>
                <w:color w:val="auto"/>
                <w:sz w:val="20"/>
                <w:szCs w:val="20"/>
                <w:lang w:val="en-US"/>
              </w:rPr>
            </w:pPr>
            <w:r w:rsidRPr="00C8159C">
              <w:rPr>
                <w:rFonts w:ascii="Arial" w:hAnsi="Arial" w:cs="Arial"/>
                <w:bCs/>
                <w:color w:val="auto"/>
                <w:sz w:val="20"/>
                <w:szCs w:val="20"/>
              </w:rPr>
              <w:t>(for legal entities)</w:t>
            </w:r>
          </w:p>
        </w:tc>
      </w:tr>
      <w:tr w:rsidR="00382A25" w:rsidRPr="00C076B2" w:rsidTr="00EC5A80">
        <w:trPr>
          <w:trHeight w:val="59"/>
        </w:trPr>
        <w:tc>
          <w:tcPr>
            <w:tcW w:w="10491" w:type="dxa"/>
            <w:gridSpan w:val="2"/>
            <w:tcBorders>
              <w:bottom w:val="nil"/>
            </w:tcBorders>
          </w:tcPr>
          <w:p w:rsidR="00382A25" w:rsidRPr="00C076B2" w:rsidRDefault="00382A25" w:rsidP="006D1203">
            <w:pPr>
              <w:pStyle w:val="Default"/>
              <w:rPr>
                <w:rFonts w:ascii="Arial" w:hAnsi="Arial" w:cs="Arial"/>
                <w:sz w:val="20"/>
                <w:szCs w:val="20"/>
              </w:rPr>
            </w:pPr>
          </w:p>
        </w:tc>
      </w:tr>
      <w:tr w:rsidR="00382A25" w:rsidRPr="00395A1F" w:rsidTr="00B90878">
        <w:trPr>
          <w:trHeight w:val="44"/>
        </w:trPr>
        <w:tc>
          <w:tcPr>
            <w:tcW w:w="10491" w:type="dxa"/>
            <w:gridSpan w:val="2"/>
            <w:tcBorders>
              <w:top w:val="nil"/>
              <w:left w:val="nil"/>
              <w:bottom w:val="nil"/>
              <w:right w:val="nil"/>
            </w:tcBorders>
          </w:tcPr>
          <w:p w:rsidR="00382A25" w:rsidRPr="006C5E91" w:rsidRDefault="00382A25" w:rsidP="00382A25">
            <w:pPr>
              <w:pStyle w:val="Default"/>
              <w:rPr>
                <w:rFonts w:ascii="Arial" w:hAnsi="Arial" w:cs="Arial"/>
                <w:color w:val="auto"/>
                <w:sz w:val="20"/>
                <w:szCs w:val="20"/>
                <w:lang w:val="en-US"/>
              </w:rPr>
            </w:pPr>
            <w:r w:rsidRPr="00C076B2">
              <w:rPr>
                <w:rFonts w:ascii="Arial" w:hAnsi="Arial" w:cs="Arial"/>
                <w:color w:val="auto"/>
                <w:sz w:val="20"/>
                <w:szCs w:val="20"/>
              </w:rPr>
              <w:t>Сведения</w:t>
            </w:r>
            <w:r w:rsidRPr="006C5E91">
              <w:rPr>
                <w:rFonts w:ascii="Arial" w:hAnsi="Arial" w:cs="Arial"/>
                <w:color w:val="auto"/>
                <w:sz w:val="20"/>
                <w:szCs w:val="20"/>
                <w:lang w:val="en-US"/>
              </w:rPr>
              <w:t xml:space="preserve"> </w:t>
            </w:r>
            <w:r w:rsidRPr="00C076B2">
              <w:rPr>
                <w:rFonts w:ascii="Arial" w:hAnsi="Arial" w:cs="Arial"/>
                <w:color w:val="auto"/>
                <w:sz w:val="20"/>
                <w:szCs w:val="20"/>
              </w:rPr>
              <w:t>о</w:t>
            </w:r>
            <w:r w:rsidRPr="006C5E91">
              <w:rPr>
                <w:rFonts w:ascii="Arial" w:hAnsi="Arial" w:cs="Arial"/>
                <w:color w:val="auto"/>
                <w:sz w:val="20"/>
                <w:szCs w:val="20"/>
                <w:lang w:val="en-US"/>
              </w:rPr>
              <w:t xml:space="preserve"> </w:t>
            </w:r>
            <w:r w:rsidRPr="00C076B2">
              <w:rPr>
                <w:rFonts w:ascii="Arial" w:hAnsi="Arial" w:cs="Arial"/>
                <w:color w:val="auto"/>
                <w:sz w:val="20"/>
                <w:szCs w:val="20"/>
              </w:rPr>
              <w:t>Заявителе</w:t>
            </w:r>
            <w:r w:rsidRPr="006C5E91">
              <w:rPr>
                <w:rFonts w:ascii="Arial" w:hAnsi="Arial" w:cs="Arial"/>
                <w:color w:val="auto"/>
                <w:sz w:val="20"/>
                <w:szCs w:val="20"/>
                <w:lang w:val="en-US"/>
              </w:rPr>
              <w:t xml:space="preserve"> (</w:t>
            </w:r>
            <w:r w:rsidRPr="00C076B2">
              <w:rPr>
                <w:rFonts w:ascii="Arial" w:hAnsi="Arial" w:cs="Arial"/>
                <w:color w:val="auto"/>
                <w:sz w:val="20"/>
                <w:szCs w:val="20"/>
              </w:rPr>
              <w:t>далее</w:t>
            </w:r>
            <w:r w:rsidRPr="006C5E91">
              <w:rPr>
                <w:rFonts w:ascii="Arial" w:hAnsi="Arial" w:cs="Arial"/>
                <w:color w:val="auto"/>
                <w:sz w:val="20"/>
                <w:szCs w:val="20"/>
                <w:lang w:val="en-US"/>
              </w:rPr>
              <w:t xml:space="preserve"> – </w:t>
            </w:r>
            <w:r w:rsidRPr="00C076B2">
              <w:rPr>
                <w:rFonts w:ascii="Arial" w:hAnsi="Arial" w:cs="Arial"/>
                <w:color w:val="auto"/>
                <w:sz w:val="20"/>
                <w:szCs w:val="20"/>
              </w:rPr>
              <w:t>Инвестор</w:t>
            </w:r>
            <w:r w:rsidRPr="006C5E91">
              <w:rPr>
                <w:rFonts w:ascii="Arial" w:hAnsi="Arial" w:cs="Arial"/>
                <w:color w:val="auto"/>
                <w:sz w:val="20"/>
                <w:szCs w:val="20"/>
                <w:lang w:val="en-US"/>
              </w:rPr>
              <w:t xml:space="preserve">) / </w:t>
            </w:r>
            <w:r>
              <w:rPr>
                <w:rFonts w:ascii="Arial" w:hAnsi="Arial" w:cs="Arial"/>
                <w:color w:val="auto"/>
                <w:sz w:val="20"/>
                <w:szCs w:val="20"/>
                <w:lang w:val="en-US"/>
              </w:rPr>
              <w:t>Applicant</w:t>
            </w:r>
            <w:r w:rsidRPr="006C5E91">
              <w:rPr>
                <w:rFonts w:ascii="Arial" w:hAnsi="Arial" w:cs="Arial"/>
                <w:color w:val="auto"/>
                <w:sz w:val="20"/>
                <w:szCs w:val="20"/>
                <w:lang w:val="en-US"/>
              </w:rPr>
              <w:t>’</w:t>
            </w:r>
            <w:r>
              <w:rPr>
                <w:rFonts w:ascii="Arial" w:hAnsi="Arial" w:cs="Arial"/>
                <w:color w:val="auto"/>
                <w:sz w:val="20"/>
                <w:szCs w:val="20"/>
                <w:lang w:val="en-US"/>
              </w:rPr>
              <w:t>s</w:t>
            </w:r>
            <w:r w:rsidRPr="006C5E91">
              <w:rPr>
                <w:rFonts w:ascii="Arial" w:hAnsi="Arial" w:cs="Arial"/>
                <w:color w:val="auto"/>
                <w:sz w:val="20"/>
                <w:szCs w:val="20"/>
                <w:lang w:val="en-US"/>
              </w:rPr>
              <w:t xml:space="preserve"> </w:t>
            </w:r>
            <w:r>
              <w:rPr>
                <w:rFonts w:ascii="Arial" w:hAnsi="Arial" w:cs="Arial"/>
                <w:color w:val="auto"/>
                <w:sz w:val="20"/>
                <w:szCs w:val="20"/>
                <w:lang w:val="en-US"/>
              </w:rPr>
              <w:t>Information</w:t>
            </w:r>
            <w:r w:rsidRPr="006C5E91">
              <w:rPr>
                <w:rFonts w:ascii="Arial" w:hAnsi="Arial" w:cs="Arial"/>
                <w:color w:val="auto"/>
                <w:sz w:val="20"/>
                <w:szCs w:val="20"/>
                <w:lang w:val="en-US"/>
              </w:rPr>
              <w:t xml:space="preserve"> (</w:t>
            </w:r>
            <w:r w:rsidRPr="00D063B3">
              <w:rPr>
                <w:rFonts w:ascii="Arial" w:hAnsi="Arial" w:cs="Arial"/>
                <w:color w:val="auto"/>
                <w:sz w:val="20"/>
                <w:szCs w:val="20"/>
                <w:lang w:val="en-US"/>
              </w:rPr>
              <w:t>hereinafter</w:t>
            </w:r>
            <w:r w:rsidRPr="006C5E91">
              <w:rPr>
                <w:rFonts w:ascii="Arial" w:hAnsi="Arial" w:cs="Arial"/>
                <w:color w:val="auto"/>
                <w:sz w:val="20"/>
                <w:szCs w:val="20"/>
                <w:lang w:val="en-US"/>
              </w:rPr>
              <w:t xml:space="preserve"> -  “</w:t>
            </w:r>
            <w:r w:rsidRPr="00D063B3">
              <w:rPr>
                <w:rFonts w:ascii="Arial" w:hAnsi="Arial" w:cs="Arial"/>
                <w:color w:val="auto"/>
                <w:sz w:val="20"/>
                <w:szCs w:val="20"/>
                <w:lang w:val="en-US"/>
              </w:rPr>
              <w:t>Investor</w:t>
            </w:r>
            <w:r w:rsidRPr="006C5E91">
              <w:rPr>
                <w:rFonts w:ascii="Arial" w:hAnsi="Arial" w:cs="Arial"/>
                <w:color w:val="auto"/>
                <w:sz w:val="20"/>
                <w:szCs w:val="20"/>
                <w:lang w:val="en-US"/>
              </w:rPr>
              <w:t>”):</w:t>
            </w:r>
          </w:p>
        </w:tc>
      </w:tr>
      <w:tr w:rsidR="00C8159C" w:rsidRPr="00395A1F" w:rsidTr="008E5730">
        <w:trPr>
          <w:trHeight w:val="44"/>
        </w:trPr>
        <w:tc>
          <w:tcPr>
            <w:tcW w:w="10491" w:type="dxa"/>
            <w:gridSpan w:val="2"/>
            <w:tcBorders>
              <w:top w:val="nil"/>
              <w:bottom w:val="single" w:sz="4" w:space="0" w:color="auto"/>
            </w:tcBorders>
          </w:tcPr>
          <w:p w:rsidR="00C8159C" w:rsidRPr="006C5E91" w:rsidRDefault="00C8159C">
            <w:pPr>
              <w:pStyle w:val="Default"/>
              <w:rPr>
                <w:rFonts w:ascii="Arial" w:hAnsi="Arial" w:cs="Arial"/>
                <w:color w:val="auto"/>
                <w:sz w:val="20"/>
                <w:szCs w:val="20"/>
                <w:lang w:val="en-US"/>
              </w:rPr>
            </w:pPr>
          </w:p>
        </w:tc>
      </w:tr>
      <w:tr w:rsidR="00C8159C" w:rsidRPr="00C076B2" w:rsidTr="00105276">
        <w:trPr>
          <w:trHeight w:val="43"/>
        </w:trPr>
        <w:tc>
          <w:tcPr>
            <w:tcW w:w="10491" w:type="dxa"/>
            <w:gridSpan w:val="2"/>
            <w:tcBorders>
              <w:top w:val="single" w:sz="4" w:space="0" w:color="auto"/>
              <w:bottom w:val="nil"/>
            </w:tcBorders>
          </w:tcPr>
          <w:p w:rsidR="00C8159C" w:rsidRPr="00C8159C" w:rsidRDefault="00C8159C" w:rsidP="00C8159C">
            <w:pPr>
              <w:pStyle w:val="Default"/>
              <w:jc w:val="center"/>
              <w:rPr>
                <w:rFonts w:ascii="Arial" w:hAnsi="Arial" w:cs="Arial"/>
                <w:i/>
                <w:sz w:val="20"/>
                <w:szCs w:val="20"/>
              </w:rPr>
            </w:pPr>
            <w:r w:rsidRPr="00C076B2">
              <w:rPr>
                <w:rFonts w:ascii="Arial" w:hAnsi="Arial" w:cs="Arial"/>
                <w:i/>
                <w:sz w:val="20"/>
                <w:szCs w:val="20"/>
              </w:rPr>
              <w:t>(полное наименование юридического лица)</w:t>
            </w:r>
            <w:r w:rsidRPr="00C8159C">
              <w:rPr>
                <w:rFonts w:ascii="Arial" w:hAnsi="Arial" w:cs="Arial"/>
                <w:i/>
                <w:sz w:val="20"/>
                <w:szCs w:val="20"/>
              </w:rPr>
              <w:t>/</w:t>
            </w:r>
            <w:r w:rsidRPr="00C076B2">
              <w:rPr>
                <w:rFonts w:ascii="Arial" w:hAnsi="Arial" w:cs="Arial"/>
                <w:i/>
                <w:sz w:val="20"/>
                <w:szCs w:val="20"/>
              </w:rPr>
              <w:t>(</w:t>
            </w:r>
            <w:r>
              <w:rPr>
                <w:rFonts w:ascii="Arial" w:hAnsi="Arial" w:cs="Arial"/>
                <w:i/>
                <w:sz w:val="20"/>
                <w:szCs w:val="20"/>
                <w:lang w:val="en-US"/>
              </w:rPr>
              <w:t>legal</w:t>
            </w:r>
            <w:r w:rsidRPr="00C8159C">
              <w:rPr>
                <w:rFonts w:ascii="Arial" w:hAnsi="Arial" w:cs="Arial"/>
                <w:i/>
                <w:sz w:val="20"/>
                <w:szCs w:val="20"/>
              </w:rPr>
              <w:t xml:space="preserve"> </w:t>
            </w:r>
            <w:r>
              <w:rPr>
                <w:rFonts w:ascii="Arial" w:hAnsi="Arial" w:cs="Arial"/>
                <w:i/>
                <w:sz w:val="20"/>
                <w:szCs w:val="20"/>
                <w:lang w:val="en-US"/>
              </w:rPr>
              <w:t>entity</w:t>
            </w:r>
            <w:r w:rsidRPr="00C8159C">
              <w:rPr>
                <w:rFonts w:ascii="Arial" w:hAnsi="Arial" w:cs="Arial"/>
                <w:i/>
                <w:sz w:val="20"/>
                <w:szCs w:val="20"/>
              </w:rPr>
              <w:t>’</w:t>
            </w:r>
            <w:r>
              <w:rPr>
                <w:rFonts w:ascii="Arial" w:hAnsi="Arial" w:cs="Arial"/>
                <w:i/>
                <w:sz w:val="20"/>
                <w:szCs w:val="20"/>
                <w:lang w:val="en-US"/>
              </w:rPr>
              <w:t>s</w:t>
            </w:r>
            <w:r w:rsidRPr="00C8159C">
              <w:rPr>
                <w:rFonts w:ascii="Arial" w:hAnsi="Arial" w:cs="Arial"/>
                <w:i/>
                <w:sz w:val="20"/>
                <w:szCs w:val="20"/>
              </w:rPr>
              <w:t xml:space="preserve"> </w:t>
            </w:r>
            <w:r>
              <w:rPr>
                <w:rFonts w:ascii="Arial" w:hAnsi="Arial" w:cs="Arial"/>
                <w:i/>
                <w:sz w:val="20"/>
                <w:szCs w:val="20"/>
                <w:lang w:val="en-US"/>
              </w:rPr>
              <w:t>full</w:t>
            </w:r>
            <w:r w:rsidRPr="00C8159C">
              <w:rPr>
                <w:rFonts w:ascii="Arial" w:hAnsi="Arial" w:cs="Arial"/>
                <w:i/>
                <w:sz w:val="20"/>
                <w:szCs w:val="20"/>
              </w:rPr>
              <w:t xml:space="preserve"> </w:t>
            </w:r>
            <w:r>
              <w:rPr>
                <w:rFonts w:ascii="Arial" w:hAnsi="Arial" w:cs="Arial"/>
                <w:i/>
                <w:sz w:val="20"/>
                <w:szCs w:val="20"/>
                <w:lang w:val="en-US"/>
              </w:rPr>
              <w:t>name</w:t>
            </w:r>
            <w:r w:rsidRPr="00C076B2">
              <w:rPr>
                <w:rFonts w:ascii="Arial" w:hAnsi="Arial" w:cs="Arial"/>
                <w:i/>
                <w:sz w:val="20"/>
                <w:szCs w:val="20"/>
              </w:rPr>
              <w:t>)</w:t>
            </w:r>
          </w:p>
        </w:tc>
      </w:tr>
      <w:tr w:rsidR="00382A25" w:rsidRPr="00C076B2" w:rsidTr="005061DB">
        <w:trPr>
          <w:trHeight w:val="51"/>
        </w:trPr>
        <w:tc>
          <w:tcPr>
            <w:tcW w:w="10491" w:type="dxa"/>
            <w:gridSpan w:val="2"/>
            <w:tcBorders>
              <w:top w:val="nil"/>
              <w:bottom w:val="single" w:sz="4" w:space="0" w:color="auto"/>
            </w:tcBorders>
          </w:tcPr>
          <w:p w:rsidR="00382A25" w:rsidRPr="00C076B2" w:rsidRDefault="00382A25">
            <w:pPr>
              <w:pStyle w:val="Default"/>
              <w:rPr>
                <w:rFonts w:ascii="Arial" w:hAnsi="Arial" w:cs="Arial"/>
                <w:sz w:val="20"/>
                <w:szCs w:val="20"/>
              </w:rPr>
            </w:pPr>
            <w:r w:rsidRPr="00C076B2">
              <w:rPr>
                <w:rFonts w:ascii="Arial" w:hAnsi="Arial" w:cs="Arial"/>
                <w:sz w:val="20"/>
                <w:szCs w:val="20"/>
              </w:rPr>
              <w:t>в лице</w:t>
            </w:r>
            <w:r>
              <w:rPr>
                <w:rFonts w:ascii="Arial" w:hAnsi="Arial" w:cs="Arial"/>
                <w:sz w:val="20"/>
                <w:szCs w:val="20"/>
                <w:lang w:val="en-US"/>
              </w:rPr>
              <w:t xml:space="preserve"> / represented by</w:t>
            </w:r>
          </w:p>
        </w:tc>
      </w:tr>
      <w:tr w:rsidR="00C8159C" w:rsidRPr="00395A1F" w:rsidTr="000F6792">
        <w:trPr>
          <w:trHeight w:val="51"/>
        </w:trPr>
        <w:tc>
          <w:tcPr>
            <w:tcW w:w="10491" w:type="dxa"/>
            <w:gridSpan w:val="2"/>
            <w:tcBorders>
              <w:top w:val="single" w:sz="4" w:space="0" w:color="auto"/>
              <w:bottom w:val="nil"/>
            </w:tcBorders>
          </w:tcPr>
          <w:p w:rsidR="00C8159C" w:rsidRPr="00C8159C" w:rsidRDefault="00C8159C" w:rsidP="005216F1">
            <w:pPr>
              <w:pStyle w:val="Default"/>
              <w:jc w:val="center"/>
              <w:rPr>
                <w:rFonts w:ascii="Arial" w:hAnsi="Arial" w:cs="Arial"/>
                <w:i/>
                <w:sz w:val="20"/>
                <w:szCs w:val="20"/>
                <w:lang w:val="en-US"/>
              </w:rPr>
            </w:pPr>
            <w:r w:rsidRPr="00C8159C">
              <w:rPr>
                <w:rFonts w:ascii="Arial" w:hAnsi="Arial" w:cs="Arial"/>
                <w:i/>
                <w:sz w:val="20"/>
                <w:szCs w:val="20"/>
                <w:lang w:val="en-US"/>
              </w:rPr>
              <w:t>(</w:t>
            </w:r>
            <w:r w:rsidRPr="00C076B2">
              <w:rPr>
                <w:rFonts w:ascii="Arial" w:hAnsi="Arial" w:cs="Arial"/>
                <w:i/>
                <w:sz w:val="20"/>
                <w:szCs w:val="20"/>
              </w:rPr>
              <w:t>наименование</w:t>
            </w:r>
            <w:r w:rsidRPr="00C8159C">
              <w:rPr>
                <w:rFonts w:ascii="Arial" w:hAnsi="Arial" w:cs="Arial"/>
                <w:i/>
                <w:sz w:val="20"/>
                <w:szCs w:val="20"/>
                <w:lang w:val="en-US"/>
              </w:rPr>
              <w:t xml:space="preserve"> </w:t>
            </w:r>
            <w:r w:rsidRPr="00C076B2">
              <w:rPr>
                <w:rFonts w:ascii="Arial" w:hAnsi="Arial" w:cs="Arial"/>
                <w:i/>
                <w:sz w:val="20"/>
                <w:szCs w:val="20"/>
              </w:rPr>
              <w:t>должности</w:t>
            </w:r>
            <w:r w:rsidRPr="00C8159C">
              <w:rPr>
                <w:rFonts w:ascii="Arial" w:hAnsi="Arial" w:cs="Arial"/>
                <w:i/>
                <w:sz w:val="20"/>
                <w:szCs w:val="20"/>
                <w:lang w:val="en-US"/>
              </w:rPr>
              <w:t xml:space="preserve"> </w:t>
            </w:r>
            <w:r w:rsidRPr="00C076B2">
              <w:rPr>
                <w:rFonts w:ascii="Arial" w:hAnsi="Arial" w:cs="Arial"/>
                <w:i/>
                <w:sz w:val="20"/>
                <w:szCs w:val="20"/>
              </w:rPr>
              <w:t>и</w:t>
            </w:r>
            <w:r w:rsidRPr="00C8159C">
              <w:rPr>
                <w:rFonts w:ascii="Arial" w:hAnsi="Arial" w:cs="Arial"/>
                <w:i/>
                <w:sz w:val="20"/>
                <w:szCs w:val="20"/>
                <w:lang w:val="en-US"/>
              </w:rPr>
              <w:t xml:space="preserve"> </w:t>
            </w:r>
            <w:r w:rsidRPr="00C076B2">
              <w:rPr>
                <w:rFonts w:ascii="Arial" w:hAnsi="Arial" w:cs="Arial"/>
                <w:i/>
                <w:sz w:val="20"/>
                <w:szCs w:val="20"/>
              </w:rPr>
              <w:t>ФИО</w:t>
            </w:r>
            <w:r w:rsidRPr="00C8159C">
              <w:rPr>
                <w:rFonts w:ascii="Arial" w:hAnsi="Arial" w:cs="Arial"/>
                <w:i/>
                <w:sz w:val="20"/>
                <w:szCs w:val="20"/>
                <w:lang w:val="en-US"/>
              </w:rPr>
              <w:t xml:space="preserve"> </w:t>
            </w:r>
            <w:r w:rsidRPr="00C076B2">
              <w:rPr>
                <w:rFonts w:ascii="Arial" w:hAnsi="Arial" w:cs="Arial"/>
                <w:i/>
                <w:sz w:val="20"/>
                <w:szCs w:val="20"/>
              </w:rPr>
              <w:t>представителя</w:t>
            </w:r>
            <w:r w:rsidRPr="00C8159C">
              <w:rPr>
                <w:rFonts w:ascii="Arial" w:hAnsi="Arial" w:cs="Arial"/>
                <w:i/>
                <w:sz w:val="20"/>
                <w:szCs w:val="20"/>
                <w:lang w:val="en-US"/>
              </w:rPr>
              <w:t>)</w:t>
            </w:r>
            <w:r w:rsidR="00382A25">
              <w:rPr>
                <w:rFonts w:ascii="Arial" w:hAnsi="Arial" w:cs="Arial"/>
                <w:i/>
                <w:sz w:val="20"/>
                <w:szCs w:val="20"/>
                <w:lang w:val="en-US"/>
              </w:rPr>
              <w:t xml:space="preserve"> </w:t>
            </w:r>
            <w:r w:rsidRPr="00C8159C">
              <w:rPr>
                <w:rFonts w:ascii="Arial" w:hAnsi="Arial" w:cs="Arial"/>
                <w:i/>
                <w:sz w:val="20"/>
                <w:szCs w:val="20"/>
                <w:lang w:val="en-US"/>
              </w:rPr>
              <w:t>/</w:t>
            </w:r>
            <w:r w:rsidRPr="00D063B3">
              <w:rPr>
                <w:rFonts w:ascii="Arial" w:hAnsi="Arial" w:cs="Arial"/>
                <w:i/>
                <w:sz w:val="20"/>
                <w:szCs w:val="20"/>
                <w:lang w:val="en-US"/>
              </w:rPr>
              <w:t xml:space="preserve"> (</w:t>
            </w:r>
            <w:r>
              <w:rPr>
                <w:rFonts w:ascii="Arial" w:hAnsi="Arial" w:cs="Arial"/>
                <w:i/>
                <w:sz w:val="20"/>
                <w:szCs w:val="20"/>
                <w:lang w:val="en-US"/>
              </w:rPr>
              <w:t>job title and full name of the representative</w:t>
            </w:r>
            <w:r w:rsidRPr="00D063B3">
              <w:rPr>
                <w:rFonts w:ascii="Arial" w:hAnsi="Arial" w:cs="Arial"/>
                <w:i/>
                <w:sz w:val="20"/>
                <w:szCs w:val="20"/>
                <w:lang w:val="en-US"/>
              </w:rPr>
              <w:t>)</w:t>
            </w:r>
          </w:p>
        </w:tc>
      </w:tr>
      <w:tr w:rsidR="00382A25" w:rsidRPr="00C076B2" w:rsidTr="00F60F53">
        <w:trPr>
          <w:trHeight w:val="51"/>
        </w:trPr>
        <w:tc>
          <w:tcPr>
            <w:tcW w:w="10491" w:type="dxa"/>
            <w:gridSpan w:val="2"/>
            <w:tcBorders>
              <w:top w:val="nil"/>
              <w:bottom w:val="single" w:sz="4" w:space="0" w:color="auto"/>
            </w:tcBorders>
          </w:tcPr>
          <w:p w:rsidR="00382A25" w:rsidRPr="00C076B2" w:rsidRDefault="00382A25">
            <w:pPr>
              <w:pStyle w:val="Default"/>
              <w:rPr>
                <w:rFonts w:ascii="Arial" w:hAnsi="Arial" w:cs="Arial"/>
                <w:sz w:val="20"/>
                <w:szCs w:val="20"/>
              </w:rPr>
            </w:pPr>
            <w:r w:rsidRPr="00C076B2">
              <w:rPr>
                <w:rFonts w:ascii="Arial" w:hAnsi="Arial" w:cs="Arial"/>
                <w:sz w:val="20"/>
                <w:szCs w:val="20"/>
              </w:rPr>
              <w:t>действующего на основании</w:t>
            </w:r>
            <w:r w:rsidRPr="00382A25">
              <w:rPr>
                <w:rFonts w:ascii="Arial" w:hAnsi="Arial" w:cs="Arial"/>
                <w:sz w:val="20"/>
                <w:szCs w:val="20"/>
              </w:rPr>
              <w:t xml:space="preserve"> / </w:t>
            </w:r>
            <w:r>
              <w:rPr>
                <w:rFonts w:ascii="Arial" w:hAnsi="Arial" w:cs="Arial"/>
                <w:sz w:val="20"/>
                <w:szCs w:val="20"/>
                <w:lang w:val="en-US"/>
              </w:rPr>
              <w:t>acting</w:t>
            </w:r>
            <w:r w:rsidRPr="00382A25">
              <w:rPr>
                <w:rFonts w:ascii="Arial" w:hAnsi="Arial" w:cs="Arial"/>
                <w:sz w:val="20"/>
                <w:szCs w:val="20"/>
              </w:rPr>
              <w:t xml:space="preserve"> </w:t>
            </w:r>
            <w:r>
              <w:rPr>
                <w:rFonts w:ascii="Arial" w:hAnsi="Arial" w:cs="Arial"/>
                <w:sz w:val="20"/>
                <w:szCs w:val="20"/>
                <w:lang w:val="en-US"/>
              </w:rPr>
              <w:t>under</w:t>
            </w:r>
          </w:p>
        </w:tc>
      </w:tr>
      <w:tr w:rsidR="00C8159C" w:rsidRPr="00395A1F" w:rsidTr="00A95E47">
        <w:trPr>
          <w:trHeight w:val="51"/>
        </w:trPr>
        <w:tc>
          <w:tcPr>
            <w:tcW w:w="10491" w:type="dxa"/>
            <w:gridSpan w:val="2"/>
            <w:tcBorders>
              <w:top w:val="single" w:sz="4" w:space="0" w:color="auto"/>
            </w:tcBorders>
          </w:tcPr>
          <w:p w:rsidR="00C8159C" w:rsidRPr="00C8159C" w:rsidRDefault="00C8159C" w:rsidP="00382A25">
            <w:pPr>
              <w:pStyle w:val="Default"/>
              <w:jc w:val="center"/>
              <w:rPr>
                <w:rFonts w:ascii="Arial" w:hAnsi="Arial" w:cs="Arial"/>
                <w:i/>
                <w:sz w:val="20"/>
                <w:szCs w:val="20"/>
                <w:lang w:val="en-US"/>
              </w:rPr>
            </w:pPr>
            <w:r w:rsidRPr="00C8159C">
              <w:rPr>
                <w:rFonts w:ascii="Arial" w:hAnsi="Arial" w:cs="Arial"/>
                <w:i/>
                <w:sz w:val="20"/>
                <w:szCs w:val="20"/>
                <w:lang w:val="en-US"/>
              </w:rPr>
              <w:t>(</w:t>
            </w:r>
            <w:r w:rsidRPr="00C076B2">
              <w:rPr>
                <w:rFonts w:ascii="Arial" w:hAnsi="Arial" w:cs="Arial"/>
                <w:i/>
                <w:sz w:val="20"/>
                <w:szCs w:val="20"/>
              </w:rPr>
              <w:t>документ</w:t>
            </w:r>
            <w:r w:rsidRPr="00C8159C">
              <w:rPr>
                <w:rFonts w:ascii="Arial" w:hAnsi="Arial" w:cs="Arial"/>
                <w:i/>
                <w:sz w:val="20"/>
                <w:szCs w:val="20"/>
                <w:lang w:val="en-US"/>
              </w:rPr>
              <w:t xml:space="preserve">, </w:t>
            </w:r>
            <w:r w:rsidRPr="00C076B2">
              <w:rPr>
                <w:rFonts w:ascii="Arial" w:hAnsi="Arial" w:cs="Arial"/>
                <w:i/>
                <w:sz w:val="20"/>
                <w:szCs w:val="20"/>
              </w:rPr>
              <w:t>подтверждающий</w:t>
            </w:r>
            <w:r w:rsidRPr="00C8159C">
              <w:rPr>
                <w:rFonts w:ascii="Arial" w:hAnsi="Arial" w:cs="Arial"/>
                <w:i/>
                <w:sz w:val="20"/>
                <w:szCs w:val="20"/>
                <w:lang w:val="en-US"/>
              </w:rPr>
              <w:t xml:space="preserve"> </w:t>
            </w:r>
            <w:r w:rsidRPr="00C076B2">
              <w:rPr>
                <w:rFonts w:ascii="Arial" w:hAnsi="Arial" w:cs="Arial"/>
                <w:i/>
                <w:sz w:val="20"/>
                <w:szCs w:val="20"/>
              </w:rPr>
              <w:t>полномочия</w:t>
            </w:r>
            <w:r w:rsidRPr="00C8159C">
              <w:rPr>
                <w:rFonts w:ascii="Arial" w:hAnsi="Arial" w:cs="Arial"/>
                <w:i/>
                <w:sz w:val="20"/>
                <w:szCs w:val="20"/>
                <w:lang w:val="en-US"/>
              </w:rPr>
              <w:t xml:space="preserve"> </w:t>
            </w:r>
            <w:r w:rsidRPr="00C076B2">
              <w:rPr>
                <w:rFonts w:ascii="Arial" w:hAnsi="Arial" w:cs="Arial"/>
                <w:i/>
                <w:sz w:val="20"/>
                <w:szCs w:val="20"/>
              </w:rPr>
              <w:t>представителя</w:t>
            </w:r>
            <w:r w:rsidRPr="00C8159C">
              <w:rPr>
                <w:rFonts w:ascii="Arial" w:hAnsi="Arial" w:cs="Arial"/>
                <w:i/>
                <w:sz w:val="20"/>
                <w:szCs w:val="20"/>
                <w:lang w:val="en-US"/>
              </w:rPr>
              <w:t>)</w:t>
            </w:r>
            <w:r>
              <w:rPr>
                <w:rFonts w:ascii="Arial" w:hAnsi="Arial" w:cs="Arial"/>
                <w:i/>
                <w:sz w:val="20"/>
                <w:szCs w:val="20"/>
                <w:lang w:val="en-US"/>
              </w:rPr>
              <w:t>/</w:t>
            </w:r>
            <w:r w:rsidRPr="00D063B3">
              <w:rPr>
                <w:rFonts w:ascii="Arial" w:hAnsi="Arial" w:cs="Arial"/>
                <w:i/>
                <w:sz w:val="20"/>
                <w:szCs w:val="20"/>
                <w:lang w:val="en-US"/>
              </w:rPr>
              <w:t>(document certifying the authority of the representative)</w:t>
            </w:r>
          </w:p>
        </w:tc>
      </w:tr>
      <w:tr w:rsidR="00382A25" w:rsidRPr="00395A1F" w:rsidTr="00382A25">
        <w:tc>
          <w:tcPr>
            <w:tcW w:w="5246" w:type="dxa"/>
          </w:tcPr>
          <w:p w:rsidR="00382A25" w:rsidRPr="00C076B2" w:rsidRDefault="00382A25" w:rsidP="00382A25">
            <w:pPr>
              <w:pStyle w:val="Default"/>
              <w:spacing w:after="120"/>
              <w:jc w:val="both"/>
              <w:rPr>
                <w:rFonts w:ascii="Arial" w:hAnsi="Arial" w:cs="Arial"/>
                <w:sz w:val="20"/>
                <w:szCs w:val="20"/>
              </w:rPr>
            </w:pPr>
            <w:r w:rsidRPr="00C076B2">
              <w:rPr>
                <w:rFonts w:ascii="Arial" w:hAnsi="Arial" w:cs="Arial"/>
                <w:sz w:val="20"/>
                <w:szCs w:val="20"/>
              </w:rPr>
              <w:t xml:space="preserve">В соответствии со ст. 428 ГК РФ присоединяюсь к Регламенту брокерского обслуживания ПАО РОСБАНК (далее – Регламент), размещенному на официальном сайте ПАО РОСБАНК в информационно-телекоммуникационной сети «Интернет» по адресу: </w:t>
            </w:r>
            <w:hyperlink r:id="rId10" w:history="1">
              <w:r w:rsidRPr="00C076B2">
                <w:rPr>
                  <w:rStyle w:val="ab"/>
                  <w:rFonts w:ascii="Arial" w:hAnsi="Arial" w:cs="Arial"/>
                  <w:sz w:val="20"/>
                  <w:szCs w:val="20"/>
                  <w:lang w:val="en-US"/>
                </w:rPr>
                <w:t>www</w:t>
              </w:r>
              <w:r w:rsidRPr="00C076B2">
                <w:rPr>
                  <w:rStyle w:val="ab"/>
                  <w:rFonts w:ascii="Arial" w:hAnsi="Arial" w:cs="Arial"/>
                  <w:sz w:val="20"/>
                  <w:szCs w:val="20"/>
                </w:rPr>
                <w:t>.</w:t>
              </w:r>
              <w:r w:rsidRPr="00C076B2">
                <w:rPr>
                  <w:rStyle w:val="ab"/>
                  <w:rFonts w:ascii="Arial" w:hAnsi="Arial" w:cs="Arial"/>
                  <w:sz w:val="20"/>
                  <w:szCs w:val="20"/>
                  <w:lang w:val="en-US"/>
                </w:rPr>
                <w:t>rosbank</w:t>
              </w:r>
              <w:r w:rsidRPr="00C076B2">
                <w:rPr>
                  <w:rStyle w:val="ab"/>
                  <w:rFonts w:ascii="Arial" w:hAnsi="Arial" w:cs="Arial"/>
                  <w:sz w:val="20"/>
                  <w:szCs w:val="20"/>
                </w:rPr>
                <w:t>.</w:t>
              </w:r>
              <w:r w:rsidRPr="00C076B2">
                <w:rPr>
                  <w:rStyle w:val="ab"/>
                  <w:rFonts w:ascii="Arial" w:hAnsi="Arial" w:cs="Arial"/>
                  <w:sz w:val="20"/>
                  <w:szCs w:val="20"/>
                  <w:lang w:val="en-US"/>
                </w:rPr>
                <w:t>ru</w:t>
              </w:r>
            </w:hyperlink>
            <w:r w:rsidRPr="00C076B2">
              <w:rPr>
                <w:rFonts w:ascii="Arial" w:hAnsi="Arial" w:cs="Arial"/>
                <w:sz w:val="20"/>
                <w:szCs w:val="20"/>
              </w:rPr>
              <w:t xml:space="preserve">. Подтверждаю мое ознакомление с Регламентом, тарифами Банка на брокерские услуги; понимаю, что Регламент вместе с настоящим Заявлением и тарифами Банка на брокерские услуги составляет договор о брокерском обслуживании (далее – Договор). Все положения Регламента и тарифов Банка на брокерские услуги разъяснены в полном объеме, включая порядок внесения в Регламент изменений и дополнений. </w:t>
            </w:r>
          </w:p>
        </w:tc>
        <w:tc>
          <w:tcPr>
            <w:tcW w:w="5245" w:type="dxa"/>
          </w:tcPr>
          <w:p w:rsidR="00382A25" w:rsidRPr="00D063B3" w:rsidRDefault="00382A25" w:rsidP="00B70353">
            <w:pPr>
              <w:pStyle w:val="Default"/>
              <w:spacing w:after="120"/>
              <w:jc w:val="both"/>
              <w:rPr>
                <w:rFonts w:ascii="Arial" w:hAnsi="Arial" w:cs="Arial"/>
                <w:sz w:val="20"/>
                <w:szCs w:val="20"/>
                <w:lang w:val="en-US"/>
              </w:rPr>
            </w:pPr>
            <w:r w:rsidRPr="00D063B3">
              <w:rPr>
                <w:rFonts w:ascii="Arial" w:hAnsi="Arial" w:cs="Arial"/>
                <w:sz w:val="20"/>
                <w:szCs w:val="20"/>
                <w:lang w:val="en-US"/>
              </w:rPr>
              <w:t>In accordance with Art. 428 of the Civil Code of the Russian Federation</w:t>
            </w:r>
            <w:r>
              <w:rPr>
                <w:rFonts w:ascii="Arial" w:hAnsi="Arial" w:cs="Arial"/>
                <w:sz w:val="20"/>
                <w:szCs w:val="20"/>
                <w:lang w:val="en-US"/>
              </w:rPr>
              <w:t>,</w:t>
            </w:r>
            <w:r w:rsidRPr="00D063B3">
              <w:rPr>
                <w:rFonts w:ascii="Arial" w:hAnsi="Arial" w:cs="Arial"/>
                <w:sz w:val="20"/>
                <w:szCs w:val="20"/>
                <w:lang w:val="en-US"/>
              </w:rPr>
              <w:t xml:space="preserve"> I </w:t>
            </w:r>
            <w:r>
              <w:rPr>
                <w:rFonts w:ascii="Arial" w:hAnsi="Arial" w:cs="Arial"/>
                <w:sz w:val="20"/>
                <w:szCs w:val="20"/>
                <w:lang w:val="en-US"/>
              </w:rPr>
              <w:t>adhere to</w:t>
            </w:r>
            <w:r w:rsidRPr="00D063B3">
              <w:rPr>
                <w:rFonts w:ascii="Arial" w:hAnsi="Arial" w:cs="Arial"/>
                <w:sz w:val="20"/>
                <w:szCs w:val="20"/>
                <w:lang w:val="en-US"/>
              </w:rPr>
              <w:t xml:space="preserve"> the Brokerage </w:t>
            </w:r>
            <w:r>
              <w:rPr>
                <w:rFonts w:ascii="Arial" w:hAnsi="Arial" w:cs="Arial"/>
                <w:sz w:val="20"/>
                <w:szCs w:val="20"/>
                <w:lang w:val="en-US"/>
              </w:rPr>
              <w:t xml:space="preserve">terms and conditions </w:t>
            </w:r>
            <w:r w:rsidRPr="00D31582">
              <w:rPr>
                <w:rFonts w:ascii="Arial" w:hAnsi="Arial" w:cs="Arial"/>
                <w:sz w:val="20"/>
                <w:szCs w:val="20"/>
                <w:lang w:val="en-US"/>
              </w:rPr>
              <w:t>of PJSC ROSBANK (hereinafter – “</w:t>
            </w:r>
            <w:r>
              <w:rPr>
                <w:rFonts w:ascii="Arial" w:hAnsi="Arial" w:cs="Arial"/>
                <w:bCs/>
                <w:color w:val="auto"/>
                <w:sz w:val="20"/>
                <w:szCs w:val="20"/>
                <w:lang w:val="en-US"/>
              </w:rPr>
              <w:t>Terms and Conditions</w:t>
            </w:r>
            <w:r w:rsidRPr="00D31582">
              <w:rPr>
                <w:rFonts w:ascii="Arial" w:hAnsi="Arial" w:cs="Arial"/>
                <w:sz w:val="20"/>
                <w:szCs w:val="20"/>
                <w:lang w:val="en-US"/>
              </w:rPr>
              <w:t>”)</w:t>
            </w:r>
            <w:r w:rsidRPr="00D063B3">
              <w:rPr>
                <w:rFonts w:ascii="Arial" w:hAnsi="Arial" w:cs="Arial"/>
                <w:sz w:val="20"/>
                <w:szCs w:val="20"/>
                <w:lang w:val="en-US"/>
              </w:rPr>
              <w:t xml:space="preserve"> posted on the official website of PJSC ROSBANK at </w:t>
            </w:r>
            <w:hyperlink r:id="rId11" w:history="1">
              <w:r w:rsidRPr="007C044C">
                <w:rPr>
                  <w:rStyle w:val="ab"/>
                  <w:rFonts w:ascii="Arial" w:hAnsi="Arial" w:cs="Arial"/>
                  <w:sz w:val="20"/>
                  <w:szCs w:val="20"/>
                  <w:lang w:val="en-US"/>
                </w:rPr>
                <w:t>www</w:t>
              </w:r>
              <w:r w:rsidRPr="00D063B3">
                <w:rPr>
                  <w:rStyle w:val="ab"/>
                  <w:rFonts w:ascii="Arial" w:hAnsi="Arial" w:cs="Arial"/>
                  <w:sz w:val="20"/>
                  <w:szCs w:val="20"/>
                  <w:lang w:val="en-US"/>
                </w:rPr>
                <w:t>.</w:t>
              </w:r>
              <w:r w:rsidRPr="007C044C">
                <w:rPr>
                  <w:rStyle w:val="ab"/>
                  <w:rFonts w:ascii="Arial" w:hAnsi="Arial" w:cs="Arial"/>
                  <w:sz w:val="20"/>
                  <w:szCs w:val="20"/>
                  <w:lang w:val="en-US"/>
                </w:rPr>
                <w:t>rosbank</w:t>
              </w:r>
              <w:r w:rsidRPr="00D063B3">
                <w:rPr>
                  <w:rStyle w:val="ab"/>
                  <w:rFonts w:ascii="Arial" w:hAnsi="Arial" w:cs="Arial"/>
                  <w:sz w:val="20"/>
                  <w:szCs w:val="20"/>
                  <w:lang w:val="en-US"/>
                </w:rPr>
                <w:t>.</w:t>
              </w:r>
              <w:r w:rsidRPr="007C044C">
                <w:rPr>
                  <w:rStyle w:val="ab"/>
                  <w:rFonts w:ascii="Arial" w:hAnsi="Arial" w:cs="Arial"/>
                  <w:sz w:val="20"/>
                  <w:szCs w:val="20"/>
                  <w:lang w:val="en-US"/>
                </w:rPr>
                <w:t>ru</w:t>
              </w:r>
            </w:hyperlink>
            <w:r w:rsidRPr="00D063B3">
              <w:rPr>
                <w:rFonts w:ascii="Arial" w:hAnsi="Arial" w:cs="Arial"/>
                <w:sz w:val="20"/>
                <w:szCs w:val="20"/>
                <w:lang w:val="en-US"/>
              </w:rPr>
              <w:t xml:space="preserve">. I confirm my acquaintance with the </w:t>
            </w:r>
            <w:r>
              <w:rPr>
                <w:rFonts w:ascii="Arial" w:hAnsi="Arial" w:cs="Arial"/>
                <w:bCs/>
                <w:color w:val="auto"/>
                <w:sz w:val="20"/>
                <w:szCs w:val="20"/>
                <w:lang w:val="en-US"/>
              </w:rPr>
              <w:t>Terms and Conditions</w:t>
            </w:r>
            <w:r w:rsidRPr="00D063B3">
              <w:rPr>
                <w:rFonts w:ascii="Arial" w:hAnsi="Arial" w:cs="Arial"/>
                <w:sz w:val="20"/>
                <w:szCs w:val="20"/>
                <w:lang w:val="en-US"/>
              </w:rPr>
              <w:t xml:space="preserve">, the Bank's tariffs for brokerage services; I understand that the </w:t>
            </w:r>
            <w:r>
              <w:rPr>
                <w:rFonts w:ascii="Arial" w:hAnsi="Arial" w:cs="Arial"/>
                <w:bCs/>
                <w:color w:val="auto"/>
                <w:sz w:val="20"/>
                <w:szCs w:val="20"/>
                <w:lang w:val="en-US"/>
              </w:rPr>
              <w:t>Terms and Conditions</w:t>
            </w:r>
            <w:r w:rsidRPr="00D063B3">
              <w:rPr>
                <w:rFonts w:ascii="Arial" w:hAnsi="Arial" w:cs="Arial"/>
                <w:sz w:val="20"/>
                <w:szCs w:val="20"/>
                <w:lang w:val="en-US"/>
              </w:rPr>
              <w:t xml:space="preserve"> together with this Application and the Bank's tariffs for brokerage services constitute a </w:t>
            </w:r>
            <w:r>
              <w:rPr>
                <w:rFonts w:ascii="Arial" w:hAnsi="Arial" w:cs="Arial"/>
                <w:sz w:val="20"/>
                <w:szCs w:val="20"/>
                <w:lang w:val="en-US"/>
              </w:rPr>
              <w:t>B</w:t>
            </w:r>
            <w:r w:rsidRPr="00D063B3">
              <w:rPr>
                <w:rFonts w:ascii="Arial" w:hAnsi="Arial" w:cs="Arial"/>
                <w:sz w:val="20"/>
                <w:szCs w:val="20"/>
                <w:lang w:val="en-US"/>
              </w:rPr>
              <w:t xml:space="preserve">rokerage </w:t>
            </w:r>
            <w:r>
              <w:rPr>
                <w:rFonts w:ascii="Arial" w:hAnsi="Arial" w:cs="Arial"/>
                <w:sz w:val="20"/>
                <w:szCs w:val="20"/>
                <w:lang w:val="en-US"/>
              </w:rPr>
              <w:t>S</w:t>
            </w:r>
            <w:r w:rsidRPr="00D063B3">
              <w:rPr>
                <w:rFonts w:ascii="Arial" w:hAnsi="Arial" w:cs="Arial"/>
                <w:sz w:val="20"/>
                <w:szCs w:val="20"/>
                <w:lang w:val="en-US"/>
              </w:rPr>
              <w:t xml:space="preserve">ervice </w:t>
            </w:r>
            <w:r>
              <w:rPr>
                <w:rFonts w:ascii="Arial" w:hAnsi="Arial" w:cs="Arial"/>
                <w:sz w:val="20"/>
                <w:szCs w:val="20"/>
                <w:lang w:val="en-US"/>
              </w:rPr>
              <w:t>A</w:t>
            </w:r>
            <w:r w:rsidRPr="00D063B3">
              <w:rPr>
                <w:rFonts w:ascii="Arial" w:hAnsi="Arial" w:cs="Arial"/>
                <w:sz w:val="20"/>
                <w:szCs w:val="20"/>
                <w:lang w:val="en-US"/>
              </w:rPr>
              <w:t>greement (hereinafter</w:t>
            </w:r>
            <w:r>
              <w:rPr>
                <w:rFonts w:ascii="Arial" w:hAnsi="Arial" w:cs="Arial"/>
                <w:sz w:val="20"/>
                <w:szCs w:val="20"/>
                <w:lang w:val="en-US"/>
              </w:rPr>
              <w:t xml:space="preserve"> –</w:t>
            </w:r>
            <w:r w:rsidRPr="00D063B3">
              <w:rPr>
                <w:rFonts w:ascii="Arial" w:hAnsi="Arial" w:cs="Arial"/>
                <w:sz w:val="20"/>
                <w:szCs w:val="20"/>
                <w:lang w:val="en-US"/>
              </w:rPr>
              <w:t xml:space="preserve"> </w:t>
            </w:r>
            <w:r>
              <w:rPr>
                <w:rFonts w:ascii="Arial" w:hAnsi="Arial" w:cs="Arial"/>
                <w:sz w:val="20"/>
                <w:szCs w:val="20"/>
                <w:lang w:val="en-US"/>
              </w:rPr>
              <w:t xml:space="preserve">the </w:t>
            </w:r>
            <w:r w:rsidRPr="00D063B3">
              <w:rPr>
                <w:rFonts w:ascii="Arial" w:hAnsi="Arial" w:cs="Arial"/>
                <w:sz w:val="20"/>
                <w:szCs w:val="20"/>
                <w:lang w:val="en-US"/>
              </w:rPr>
              <w:t xml:space="preserve">Agreement). All provisions of the </w:t>
            </w:r>
            <w:r>
              <w:rPr>
                <w:rFonts w:ascii="Arial" w:hAnsi="Arial" w:cs="Arial"/>
                <w:sz w:val="20"/>
                <w:szCs w:val="20"/>
                <w:lang w:val="en-US"/>
              </w:rPr>
              <w:t>Terms and Conditions</w:t>
            </w:r>
            <w:r w:rsidRPr="00D063B3">
              <w:rPr>
                <w:rFonts w:ascii="Arial" w:hAnsi="Arial" w:cs="Arial"/>
                <w:sz w:val="20"/>
                <w:szCs w:val="20"/>
                <w:lang w:val="en-US"/>
              </w:rPr>
              <w:t xml:space="preserve"> and</w:t>
            </w:r>
            <w:r>
              <w:rPr>
                <w:rFonts w:ascii="Arial" w:hAnsi="Arial" w:cs="Arial"/>
                <w:sz w:val="20"/>
                <w:szCs w:val="20"/>
                <w:lang w:val="en-US"/>
              </w:rPr>
              <w:t xml:space="preserve"> the Bank’s </w:t>
            </w:r>
            <w:r w:rsidRPr="00D063B3">
              <w:rPr>
                <w:rFonts w:ascii="Arial" w:hAnsi="Arial" w:cs="Arial"/>
                <w:sz w:val="20"/>
                <w:szCs w:val="20"/>
                <w:lang w:val="en-US"/>
              </w:rPr>
              <w:t xml:space="preserve">Tariffs for brokerage services </w:t>
            </w:r>
            <w:r>
              <w:rPr>
                <w:rFonts w:ascii="Arial" w:hAnsi="Arial" w:cs="Arial"/>
                <w:sz w:val="20"/>
                <w:szCs w:val="20"/>
                <w:lang w:val="en-US"/>
              </w:rPr>
              <w:t>have been</w:t>
            </w:r>
            <w:r w:rsidRPr="00D063B3">
              <w:rPr>
                <w:rFonts w:ascii="Arial" w:hAnsi="Arial" w:cs="Arial"/>
                <w:sz w:val="20"/>
                <w:szCs w:val="20"/>
                <w:lang w:val="en-US"/>
              </w:rPr>
              <w:t xml:space="preserve"> explained </w:t>
            </w:r>
            <w:r>
              <w:rPr>
                <w:rFonts w:ascii="Arial" w:hAnsi="Arial" w:cs="Arial"/>
                <w:sz w:val="20"/>
                <w:szCs w:val="20"/>
                <w:lang w:val="en-US"/>
              </w:rPr>
              <w:t xml:space="preserve">to me </w:t>
            </w:r>
            <w:r w:rsidRPr="00D063B3">
              <w:rPr>
                <w:rFonts w:ascii="Arial" w:hAnsi="Arial" w:cs="Arial"/>
                <w:sz w:val="20"/>
                <w:szCs w:val="20"/>
                <w:lang w:val="en-US"/>
              </w:rPr>
              <w:t xml:space="preserve">in full, including the procedure for making changes and additions to the </w:t>
            </w:r>
            <w:r w:rsidR="00B70353">
              <w:rPr>
                <w:rFonts w:ascii="Arial" w:hAnsi="Arial" w:cs="Arial"/>
                <w:bCs/>
                <w:color w:val="auto"/>
                <w:sz w:val="20"/>
                <w:szCs w:val="20"/>
                <w:lang w:val="en-US"/>
              </w:rPr>
              <w:t>Terms and Conditions</w:t>
            </w:r>
            <w:r w:rsidRPr="00D063B3">
              <w:rPr>
                <w:rFonts w:ascii="Arial" w:hAnsi="Arial" w:cs="Arial"/>
                <w:sz w:val="20"/>
                <w:szCs w:val="20"/>
                <w:lang w:val="en-US"/>
              </w:rPr>
              <w:t>.</w:t>
            </w:r>
          </w:p>
        </w:tc>
      </w:tr>
      <w:tr w:rsidR="00C8159C" w:rsidRPr="00395A1F" w:rsidTr="00382A25">
        <w:tc>
          <w:tcPr>
            <w:tcW w:w="5246" w:type="dxa"/>
          </w:tcPr>
          <w:p w:rsidR="00395A1F" w:rsidRPr="00BA3610" w:rsidRDefault="00395A1F" w:rsidP="00395A1F">
            <w:pPr>
              <w:jc w:val="both"/>
              <w:rPr>
                <w:color w:val="000000"/>
              </w:rPr>
            </w:pPr>
            <w:r w:rsidRPr="00BA3610">
              <w:rPr>
                <w:color w:val="000000"/>
              </w:rPr>
              <w:t>Стороны настоящим договорились об установлении вознаграждения Банка за проведение брокерских операций: _____</w:t>
            </w:r>
          </w:p>
          <w:p w:rsidR="00395A1F" w:rsidRPr="00BA3610" w:rsidRDefault="00395A1F" w:rsidP="00395A1F">
            <w:pPr>
              <w:jc w:val="both"/>
              <w:rPr>
                <w:color w:val="000000"/>
              </w:rPr>
            </w:pPr>
          </w:p>
          <w:p w:rsidR="00395A1F" w:rsidRDefault="00395A1F" w:rsidP="00395A1F">
            <w:pPr>
              <w:jc w:val="both"/>
              <w:rPr>
                <w:color w:val="000000"/>
              </w:rPr>
            </w:pPr>
            <w:r w:rsidRPr="00BA3610">
              <w:rPr>
                <w:color w:val="000000"/>
              </w:rPr>
              <w:t>Расчет вознаграждения Банка за проведение брокерских операций на фондовом рынке Московской Биржи по тарифному плану (</w:t>
            </w:r>
            <w:r w:rsidRPr="00BA3610">
              <w:t>выберите один из двух указанных вариантов</w:t>
            </w:r>
            <w:r w:rsidRPr="00BA3610">
              <w:rPr>
                <w:color w:val="000000"/>
              </w:rPr>
              <w:t>):</w:t>
            </w:r>
          </w:p>
          <w:p w:rsidR="00395A1F" w:rsidRPr="00BA3610" w:rsidRDefault="00395A1F" w:rsidP="00395A1F">
            <w:pPr>
              <w:jc w:val="both"/>
              <w:rPr>
                <w:color w:val="000000"/>
              </w:rPr>
            </w:pPr>
          </w:p>
          <w:p w:rsidR="00395A1F" w:rsidRPr="00BA3610" w:rsidRDefault="00395A1F" w:rsidP="00395A1F">
            <w:pPr>
              <w:jc w:val="both"/>
              <w:rPr>
                <w:color w:val="000000"/>
              </w:rPr>
            </w:pPr>
            <w:r w:rsidRPr="00BA3610">
              <w:rPr>
                <w:color w:val="000000"/>
              </w:rPr>
              <w:t xml:space="preserve">  </w:t>
            </w:r>
            <w:r w:rsidRPr="00BA3610">
              <w:fldChar w:fldCharType="begin">
                <w:ffData>
                  <w:name w:val="Флажок2"/>
                  <w:enabled/>
                  <w:calcOnExit w:val="0"/>
                  <w:checkBox>
                    <w:sizeAuto/>
                    <w:default w:val="0"/>
                  </w:checkBox>
                </w:ffData>
              </w:fldChar>
            </w:r>
            <w:r w:rsidRPr="00BA3610">
              <w:instrText xml:space="preserve"> FORMCHECKBOX </w:instrText>
            </w:r>
            <w:r>
              <w:fldChar w:fldCharType="separate"/>
            </w:r>
            <w:r w:rsidRPr="00BA3610">
              <w:fldChar w:fldCharType="end"/>
            </w:r>
            <w:r w:rsidRPr="00BA3610">
              <w:t xml:space="preserve"> </w:t>
            </w:r>
            <w:r w:rsidRPr="00BA3610">
              <w:rPr>
                <w:color w:val="000000"/>
              </w:rPr>
              <w:t xml:space="preserve">     Тарифный план «Голосовой» </w:t>
            </w:r>
          </w:p>
          <w:p w:rsidR="00395A1F" w:rsidRPr="00BA3610" w:rsidRDefault="00395A1F" w:rsidP="00395A1F">
            <w:pPr>
              <w:jc w:val="both"/>
              <w:rPr>
                <w:color w:val="000000"/>
              </w:rPr>
            </w:pPr>
            <w:r w:rsidRPr="00BA3610">
              <w:rPr>
                <w:color w:val="000000"/>
              </w:rPr>
              <w:t xml:space="preserve">  </w:t>
            </w:r>
            <w:r w:rsidRPr="00BA3610">
              <w:fldChar w:fldCharType="begin">
                <w:ffData>
                  <w:name w:val="Флажок2"/>
                  <w:enabled/>
                  <w:calcOnExit w:val="0"/>
                  <w:checkBox>
                    <w:sizeAuto/>
                    <w:default w:val="0"/>
                  </w:checkBox>
                </w:ffData>
              </w:fldChar>
            </w:r>
            <w:r w:rsidRPr="00BA3610">
              <w:instrText xml:space="preserve"> FORMCHECKBOX </w:instrText>
            </w:r>
            <w:r>
              <w:fldChar w:fldCharType="separate"/>
            </w:r>
            <w:r w:rsidRPr="00BA3610">
              <w:fldChar w:fldCharType="end"/>
            </w:r>
            <w:r w:rsidRPr="00BA3610">
              <w:t xml:space="preserve"> </w:t>
            </w:r>
            <w:r w:rsidRPr="00BA3610">
              <w:rPr>
                <w:color w:val="000000"/>
              </w:rPr>
              <w:t xml:space="preserve">      Тарифный план «Базовый» </w:t>
            </w:r>
          </w:p>
          <w:p w:rsidR="00395A1F" w:rsidRDefault="00395A1F" w:rsidP="00395A1F">
            <w:pPr>
              <w:jc w:val="both"/>
              <w:rPr>
                <w:color w:val="000000"/>
              </w:rPr>
            </w:pPr>
          </w:p>
          <w:p w:rsidR="00395A1F" w:rsidRDefault="00395A1F" w:rsidP="00395A1F">
            <w:pPr>
              <w:shd w:val="clear" w:color="auto" w:fill="FFFFFF"/>
              <w:tabs>
                <w:tab w:val="num" w:pos="1567"/>
              </w:tabs>
              <w:spacing w:after="120"/>
              <w:jc w:val="both"/>
              <w:rPr>
                <w:rStyle w:val="ab"/>
              </w:rPr>
            </w:pPr>
            <w:r w:rsidRPr="00BA3610">
              <w:rPr>
                <w:color w:val="000000"/>
              </w:rPr>
              <w:t xml:space="preserve">Прочие вознаграждения Банка, не согласованные Сторонами в настоящем Заявлении, определяются тарифами Банка по брокерскому обслуживанию, размещенными на сайте Банка по адресу: </w:t>
            </w:r>
            <w:hyperlink r:id="rId12" w:history="1">
              <w:r w:rsidRPr="00BA3610">
                <w:rPr>
                  <w:rStyle w:val="ab"/>
                </w:rPr>
                <w:t>www.rosbank.ru</w:t>
              </w:r>
            </w:hyperlink>
          </w:p>
          <w:p w:rsidR="00C8159C" w:rsidRPr="00C076B2" w:rsidRDefault="00C8159C" w:rsidP="00382A25">
            <w:pPr>
              <w:shd w:val="clear" w:color="auto" w:fill="FFFFFF"/>
              <w:tabs>
                <w:tab w:val="num" w:pos="1567"/>
              </w:tabs>
              <w:spacing w:after="120"/>
              <w:jc w:val="both"/>
              <w:rPr>
                <w:bCs/>
              </w:rPr>
            </w:pPr>
            <w:r w:rsidRPr="00C076B2">
              <w:rPr>
                <w:bCs/>
              </w:rPr>
              <w:t>Подписывая настоящее заявление Инвестор:</w:t>
            </w:r>
          </w:p>
          <w:p w:rsidR="00C8159C" w:rsidRPr="00C076B2" w:rsidRDefault="00C8159C" w:rsidP="00382A25">
            <w:pPr>
              <w:pStyle w:val="a6"/>
              <w:numPr>
                <w:ilvl w:val="0"/>
                <w:numId w:val="2"/>
              </w:numPr>
              <w:shd w:val="clear" w:color="auto" w:fill="FFFFFF"/>
              <w:tabs>
                <w:tab w:val="left" w:pos="284"/>
              </w:tabs>
              <w:spacing w:after="120"/>
              <w:ind w:left="0" w:firstLine="0"/>
              <w:jc w:val="both"/>
            </w:pPr>
            <w:r w:rsidRPr="00C076B2">
              <w:t>подтверждает получение всех необходимых решений и одобрений, разрешений и согласований для подписания настоящего заявления, в случаях, когда их наличие требуется для этого в соответствии с законодательством Российской Федерации и внутренними документами, а также отсутствие каких-либо ограничений на его подписание;</w:t>
            </w:r>
          </w:p>
          <w:p w:rsidR="00C8159C" w:rsidRPr="00C076B2" w:rsidRDefault="00C8159C" w:rsidP="00382A25">
            <w:pPr>
              <w:pStyle w:val="a6"/>
              <w:numPr>
                <w:ilvl w:val="0"/>
                <w:numId w:val="2"/>
              </w:numPr>
              <w:shd w:val="clear" w:color="auto" w:fill="FFFFFF"/>
              <w:tabs>
                <w:tab w:val="left" w:pos="284"/>
              </w:tabs>
              <w:spacing w:after="120"/>
              <w:ind w:left="0" w:firstLine="0"/>
              <w:jc w:val="both"/>
            </w:pPr>
            <w:r w:rsidRPr="00C076B2">
              <w:t>понимает, что Банк вправе отказать в приеме настоящего заявления в соответствии с законодательством Российской Федерации без указания причины.</w:t>
            </w:r>
          </w:p>
        </w:tc>
        <w:tc>
          <w:tcPr>
            <w:tcW w:w="5245" w:type="dxa"/>
          </w:tcPr>
          <w:p w:rsidR="00395A1F" w:rsidRDefault="00395A1F" w:rsidP="00395A1F">
            <w:pPr>
              <w:pStyle w:val="Default"/>
              <w:spacing w:after="120"/>
              <w:jc w:val="both"/>
              <w:rPr>
                <w:rFonts w:ascii="Arial" w:hAnsi="Arial" w:cs="Arial"/>
                <w:sz w:val="20"/>
                <w:szCs w:val="20"/>
                <w:lang w:val="en-US"/>
              </w:rPr>
            </w:pPr>
            <w:r w:rsidRPr="00EB1065">
              <w:rPr>
                <w:rFonts w:ascii="Arial" w:hAnsi="Arial" w:cs="Arial"/>
                <w:sz w:val="20"/>
                <w:szCs w:val="20"/>
                <w:lang w:val="en-US"/>
              </w:rPr>
              <w:t>The parties hereby agree to establish the Bank's remunerati</w:t>
            </w:r>
            <w:r>
              <w:rPr>
                <w:rFonts w:ascii="Arial" w:hAnsi="Arial" w:cs="Arial"/>
                <w:sz w:val="20"/>
                <w:szCs w:val="20"/>
                <w:lang w:val="en-US"/>
              </w:rPr>
              <w:t>on for broker operations: _____</w:t>
            </w:r>
          </w:p>
          <w:p w:rsidR="00395A1F" w:rsidRDefault="00395A1F" w:rsidP="00395A1F">
            <w:pPr>
              <w:pStyle w:val="Default"/>
              <w:spacing w:after="120"/>
              <w:jc w:val="both"/>
              <w:rPr>
                <w:rFonts w:ascii="Arial" w:hAnsi="Arial" w:cs="Arial"/>
                <w:sz w:val="20"/>
                <w:szCs w:val="20"/>
                <w:lang w:val="en-US"/>
              </w:rPr>
            </w:pPr>
          </w:p>
          <w:p w:rsidR="00395A1F" w:rsidRDefault="00395A1F" w:rsidP="00395A1F">
            <w:pPr>
              <w:pStyle w:val="Default"/>
              <w:spacing w:after="120"/>
              <w:jc w:val="both"/>
              <w:rPr>
                <w:rFonts w:ascii="Arial" w:hAnsi="Arial" w:cs="Arial"/>
                <w:sz w:val="20"/>
                <w:szCs w:val="20"/>
                <w:lang w:val="en-US"/>
              </w:rPr>
            </w:pPr>
            <w:r w:rsidRPr="00EB1065">
              <w:rPr>
                <w:rFonts w:ascii="Arial" w:hAnsi="Arial" w:cs="Arial"/>
                <w:sz w:val="20"/>
                <w:szCs w:val="20"/>
                <w:lang w:val="en-US"/>
              </w:rPr>
              <w:t xml:space="preserve">Calculation of the Bank's remuneration for broker operations </w:t>
            </w:r>
            <w:r>
              <w:rPr>
                <w:rFonts w:ascii="Arial" w:hAnsi="Arial" w:cs="Arial"/>
                <w:sz w:val="20"/>
                <w:szCs w:val="20"/>
                <w:lang w:val="en-US"/>
              </w:rPr>
              <w:t>on</w:t>
            </w:r>
            <w:r w:rsidRPr="00EB1065">
              <w:rPr>
                <w:rFonts w:ascii="Arial" w:hAnsi="Arial" w:cs="Arial"/>
                <w:sz w:val="20"/>
                <w:szCs w:val="20"/>
                <w:lang w:val="en-US"/>
              </w:rPr>
              <w:t xml:space="preserve"> the stock market of the Moscow Exchange according to the tariff plan (select one</w:t>
            </w:r>
            <w:r>
              <w:rPr>
                <w:rFonts w:ascii="Arial" w:hAnsi="Arial" w:cs="Arial"/>
                <w:sz w:val="20"/>
                <w:szCs w:val="20"/>
                <w:lang w:val="en-US"/>
              </w:rPr>
              <w:t xml:space="preserve"> of the two specified options):</w:t>
            </w:r>
          </w:p>
          <w:p w:rsidR="00395A1F" w:rsidRPr="00EB1065" w:rsidRDefault="00395A1F" w:rsidP="00395A1F">
            <w:pPr>
              <w:jc w:val="both"/>
              <w:rPr>
                <w:color w:val="000000"/>
                <w:lang w:val="en-US"/>
              </w:rPr>
            </w:pPr>
            <w:r w:rsidRPr="00EB1065">
              <w:rPr>
                <w:color w:val="000000"/>
                <w:lang w:val="en-US"/>
              </w:rPr>
              <w:t xml:space="preserve">  </w:t>
            </w:r>
            <w:r w:rsidRPr="00BA3610">
              <w:fldChar w:fldCharType="begin">
                <w:ffData>
                  <w:name w:val="Флажок2"/>
                  <w:enabled/>
                  <w:calcOnExit w:val="0"/>
                  <w:checkBox>
                    <w:sizeAuto/>
                    <w:default w:val="0"/>
                  </w:checkBox>
                </w:ffData>
              </w:fldChar>
            </w:r>
            <w:r w:rsidRPr="00EB1065">
              <w:rPr>
                <w:lang w:val="en-US"/>
              </w:rPr>
              <w:instrText xml:space="preserve"> FORMCHECKBOX </w:instrText>
            </w:r>
            <w:r>
              <w:fldChar w:fldCharType="separate"/>
            </w:r>
            <w:r w:rsidRPr="00BA3610">
              <w:fldChar w:fldCharType="end"/>
            </w:r>
            <w:r w:rsidRPr="00EB1065">
              <w:rPr>
                <w:lang w:val="en-US"/>
              </w:rPr>
              <w:t xml:space="preserve"> </w:t>
            </w:r>
            <w:r w:rsidRPr="00EB1065">
              <w:rPr>
                <w:color w:val="000000"/>
                <w:lang w:val="en-US"/>
              </w:rPr>
              <w:t xml:space="preserve">     «</w:t>
            </w:r>
            <w:r w:rsidRPr="00EB1065">
              <w:rPr>
                <w:lang w:val="en-US"/>
              </w:rPr>
              <w:t>Voice» tariff plan</w:t>
            </w:r>
            <w:r w:rsidRPr="00EB1065">
              <w:rPr>
                <w:color w:val="000000"/>
                <w:lang w:val="en-US"/>
              </w:rPr>
              <w:t xml:space="preserve"> </w:t>
            </w:r>
          </w:p>
          <w:p w:rsidR="00395A1F" w:rsidRPr="00EB1065" w:rsidRDefault="00395A1F" w:rsidP="00395A1F">
            <w:pPr>
              <w:jc w:val="both"/>
              <w:rPr>
                <w:color w:val="000000"/>
                <w:lang w:val="en-US"/>
              </w:rPr>
            </w:pPr>
            <w:r w:rsidRPr="00EB1065">
              <w:rPr>
                <w:color w:val="000000"/>
                <w:lang w:val="en-US"/>
              </w:rPr>
              <w:t xml:space="preserve">  </w:t>
            </w:r>
            <w:r w:rsidRPr="00BA3610">
              <w:fldChar w:fldCharType="begin">
                <w:ffData>
                  <w:name w:val="Флажок2"/>
                  <w:enabled/>
                  <w:calcOnExit w:val="0"/>
                  <w:checkBox>
                    <w:sizeAuto/>
                    <w:default w:val="0"/>
                  </w:checkBox>
                </w:ffData>
              </w:fldChar>
            </w:r>
            <w:r w:rsidRPr="00EB1065">
              <w:rPr>
                <w:lang w:val="en-US"/>
              </w:rPr>
              <w:instrText xml:space="preserve"> FORMCHECKBOX </w:instrText>
            </w:r>
            <w:r>
              <w:fldChar w:fldCharType="separate"/>
            </w:r>
            <w:r w:rsidRPr="00BA3610">
              <w:fldChar w:fldCharType="end"/>
            </w:r>
            <w:r w:rsidRPr="00EB1065">
              <w:rPr>
                <w:lang w:val="en-US"/>
              </w:rPr>
              <w:t xml:space="preserve"> </w:t>
            </w:r>
            <w:r w:rsidRPr="00EB1065">
              <w:rPr>
                <w:color w:val="000000"/>
                <w:lang w:val="en-US"/>
              </w:rPr>
              <w:t xml:space="preserve">      «</w:t>
            </w:r>
            <w:r>
              <w:rPr>
                <w:color w:val="000000"/>
                <w:lang w:val="en-US"/>
              </w:rPr>
              <w:t>Basic</w:t>
            </w:r>
            <w:r w:rsidRPr="00EB1065">
              <w:rPr>
                <w:color w:val="000000"/>
                <w:lang w:val="en-US"/>
              </w:rPr>
              <w:t xml:space="preserve">» </w:t>
            </w:r>
            <w:r w:rsidRPr="00EB1065">
              <w:rPr>
                <w:lang w:val="en-US"/>
              </w:rPr>
              <w:t>tariff plan</w:t>
            </w:r>
            <w:r w:rsidRPr="00EB1065">
              <w:rPr>
                <w:color w:val="000000"/>
                <w:lang w:val="en-US"/>
              </w:rPr>
              <w:t xml:space="preserve"> </w:t>
            </w:r>
          </w:p>
          <w:p w:rsidR="00395A1F" w:rsidRDefault="00395A1F" w:rsidP="00395A1F">
            <w:pPr>
              <w:pStyle w:val="Default"/>
              <w:spacing w:after="120"/>
              <w:jc w:val="both"/>
              <w:rPr>
                <w:rFonts w:ascii="Arial" w:hAnsi="Arial" w:cs="Arial"/>
                <w:sz w:val="20"/>
                <w:szCs w:val="20"/>
                <w:lang w:val="en-US"/>
              </w:rPr>
            </w:pPr>
          </w:p>
          <w:p w:rsidR="00395A1F" w:rsidRDefault="00395A1F" w:rsidP="00395A1F">
            <w:pPr>
              <w:pStyle w:val="Default"/>
              <w:spacing w:after="120"/>
              <w:jc w:val="both"/>
              <w:rPr>
                <w:rFonts w:ascii="Arial" w:hAnsi="Arial" w:cs="Arial"/>
                <w:sz w:val="20"/>
                <w:szCs w:val="20"/>
                <w:lang w:val="en-US"/>
              </w:rPr>
            </w:pPr>
            <w:r w:rsidRPr="00EB1065">
              <w:rPr>
                <w:rFonts w:ascii="Arial" w:hAnsi="Arial" w:cs="Arial"/>
                <w:sz w:val="20"/>
                <w:szCs w:val="20"/>
                <w:lang w:val="en-US"/>
              </w:rPr>
              <w:t xml:space="preserve">Other remuneration of the Bank, not agreed by the Parties in this Application, are determined by the Bank's brokerage services </w:t>
            </w:r>
            <w:r>
              <w:rPr>
                <w:rFonts w:ascii="Arial" w:hAnsi="Arial" w:cs="Arial"/>
                <w:sz w:val="20"/>
                <w:szCs w:val="20"/>
                <w:lang w:val="en-US"/>
              </w:rPr>
              <w:t>tariffs</w:t>
            </w:r>
            <w:r w:rsidRPr="00EB1065">
              <w:rPr>
                <w:rFonts w:ascii="Arial" w:hAnsi="Arial" w:cs="Arial"/>
                <w:sz w:val="20"/>
                <w:szCs w:val="20"/>
                <w:lang w:val="en-US"/>
              </w:rPr>
              <w:t xml:space="preserve"> </w:t>
            </w:r>
            <w:r>
              <w:rPr>
                <w:rFonts w:ascii="Arial" w:hAnsi="Arial" w:cs="Arial"/>
                <w:sz w:val="20"/>
                <w:szCs w:val="20"/>
                <w:lang w:val="en-US"/>
              </w:rPr>
              <w:t>disclosed</w:t>
            </w:r>
            <w:r w:rsidRPr="00EB1065">
              <w:rPr>
                <w:rFonts w:ascii="Arial" w:hAnsi="Arial" w:cs="Arial"/>
                <w:sz w:val="20"/>
                <w:szCs w:val="20"/>
                <w:lang w:val="en-US"/>
              </w:rPr>
              <w:t xml:space="preserve"> on the Bank’s website </w:t>
            </w:r>
            <w:r>
              <w:rPr>
                <w:rFonts w:ascii="Arial" w:hAnsi="Arial" w:cs="Arial"/>
                <w:sz w:val="20"/>
                <w:szCs w:val="20"/>
                <w:lang w:val="en-US"/>
              </w:rPr>
              <w:t>via following link:</w:t>
            </w:r>
            <w:r w:rsidRPr="00EB1065">
              <w:rPr>
                <w:rFonts w:ascii="Arial" w:hAnsi="Arial" w:cs="Arial"/>
                <w:sz w:val="20"/>
                <w:szCs w:val="20"/>
                <w:lang w:val="en-US"/>
              </w:rPr>
              <w:t xml:space="preserve"> </w:t>
            </w:r>
            <w:hyperlink r:id="rId13" w:history="1">
              <w:r w:rsidRPr="00D01BD9">
                <w:rPr>
                  <w:rStyle w:val="ab"/>
                  <w:rFonts w:ascii="Arial" w:hAnsi="Arial" w:cs="Arial"/>
                  <w:sz w:val="20"/>
                  <w:szCs w:val="20"/>
                  <w:lang w:val="en-US"/>
                </w:rPr>
                <w:t>www.rosbank.ru</w:t>
              </w:r>
            </w:hyperlink>
          </w:p>
          <w:p w:rsidR="00395A1F" w:rsidRDefault="00395A1F" w:rsidP="00382A25">
            <w:pPr>
              <w:pStyle w:val="Default"/>
              <w:spacing w:after="120"/>
              <w:jc w:val="both"/>
              <w:rPr>
                <w:rFonts w:ascii="Arial" w:hAnsi="Arial" w:cs="Arial"/>
                <w:sz w:val="20"/>
                <w:szCs w:val="20"/>
                <w:lang w:val="en-US"/>
              </w:rPr>
            </w:pPr>
          </w:p>
          <w:p w:rsidR="00C8159C" w:rsidRPr="00D063B3" w:rsidRDefault="00C8159C" w:rsidP="00382A25">
            <w:pPr>
              <w:pStyle w:val="Default"/>
              <w:spacing w:after="120"/>
              <w:jc w:val="both"/>
              <w:rPr>
                <w:rFonts w:ascii="Arial" w:hAnsi="Arial" w:cs="Arial"/>
                <w:sz w:val="20"/>
                <w:szCs w:val="20"/>
                <w:lang w:val="en-US"/>
              </w:rPr>
            </w:pPr>
            <w:r w:rsidRPr="00D063B3">
              <w:rPr>
                <w:rFonts w:ascii="Arial" w:hAnsi="Arial" w:cs="Arial"/>
                <w:sz w:val="20"/>
                <w:szCs w:val="20"/>
                <w:lang w:val="en-US"/>
              </w:rPr>
              <w:t xml:space="preserve">By signing this </w:t>
            </w:r>
            <w:r>
              <w:rPr>
                <w:rFonts w:ascii="Arial" w:hAnsi="Arial" w:cs="Arial"/>
                <w:sz w:val="20"/>
                <w:szCs w:val="20"/>
                <w:lang w:val="en-US"/>
              </w:rPr>
              <w:t>A</w:t>
            </w:r>
            <w:r w:rsidRPr="00D063B3">
              <w:rPr>
                <w:rFonts w:ascii="Arial" w:hAnsi="Arial" w:cs="Arial"/>
                <w:sz w:val="20"/>
                <w:szCs w:val="20"/>
                <w:lang w:val="en-US"/>
              </w:rPr>
              <w:t>pplication</w:t>
            </w:r>
            <w:r>
              <w:rPr>
                <w:rFonts w:ascii="Arial" w:hAnsi="Arial" w:cs="Arial"/>
                <w:sz w:val="20"/>
                <w:szCs w:val="20"/>
                <w:lang w:val="en-US"/>
              </w:rPr>
              <w:t>,</w:t>
            </w:r>
            <w:r w:rsidRPr="00D063B3">
              <w:rPr>
                <w:rFonts w:ascii="Arial" w:hAnsi="Arial" w:cs="Arial"/>
                <w:sz w:val="20"/>
                <w:szCs w:val="20"/>
                <w:lang w:val="en-US"/>
              </w:rPr>
              <w:t xml:space="preserve"> the Investor:</w:t>
            </w:r>
          </w:p>
          <w:p w:rsidR="00C8159C" w:rsidRPr="00D063B3" w:rsidRDefault="00C8159C" w:rsidP="00382A25">
            <w:pPr>
              <w:pStyle w:val="Default"/>
              <w:spacing w:after="120"/>
              <w:jc w:val="both"/>
              <w:rPr>
                <w:rFonts w:ascii="Arial" w:hAnsi="Arial" w:cs="Arial"/>
                <w:sz w:val="20"/>
                <w:szCs w:val="20"/>
                <w:lang w:val="en-US"/>
              </w:rPr>
            </w:pPr>
            <w:r>
              <w:rPr>
                <w:rFonts w:ascii="Arial" w:hAnsi="Arial" w:cs="Arial"/>
                <w:sz w:val="20"/>
                <w:szCs w:val="20"/>
                <w:lang w:val="en-US"/>
              </w:rPr>
              <w:t>- confirms</w:t>
            </w:r>
            <w:r w:rsidRPr="00D063B3">
              <w:rPr>
                <w:rFonts w:ascii="Arial" w:hAnsi="Arial" w:cs="Arial"/>
                <w:sz w:val="20"/>
                <w:szCs w:val="20"/>
                <w:lang w:val="en-US"/>
              </w:rPr>
              <w:t xml:space="preserve"> </w:t>
            </w:r>
            <w:r>
              <w:rPr>
                <w:rFonts w:ascii="Arial" w:hAnsi="Arial" w:cs="Arial"/>
                <w:sz w:val="20"/>
                <w:szCs w:val="20"/>
                <w:lang w:val="en-US"/>
              </w:rPr>
              <w:t xml:space="preserve">the </w:t>
            </w:r>
            <w:r w:rsidRPr="00D063B3">
              <w:rPr>
                <w:rFonts w:ascii="Arial" w:hAnsi="Arial" w:cs="Arial"/>
                <w:sz w:val="20"/>
                <w:szCs w:val="20"/>
                <w:lang w:val="en-US"/>
              </w:rPr>
              <w:t xml:space="preserve">receipt of all </w:t>
            </w:r>
            <w:r>
              <w:rPr>
                <w:rFonts w:ascii="Arial" w:hAnsi="Arial" w:cs="Arial"/>
                <w:sz w:val="20"/>
                <w:szCs w:val="20"/>
                <w:lang w:val="en-US"/>
              </w:rPr>
              <w:t>required</w:t>
            </w:r>
            <w:r w:rsidRPr="00D063B3">
              <w:rPr>
                <w:rFonts w:ascii="Arial" w:hAnsi="Arial" w:cs="Arial"/>
                <w:sz w:val="20"/>
                <w:szCs w:val="20"/>
                <w:lang w:val="en-US"/>
              </w:rPr>
              <w:t xml:space="preserve"> decisions</w:t>
            </w:r>
            <w:r>
              <w:rPr>
                <w:rFonts w:ascii="Arial" w:hAnsi="Arial" w:cs="Arial"/>
                <w:sz w:val="20"/>
                <w:szCs w:val="20"/>
                <w:lang w:val="en-US"/>
              </w:rPr>
              <w:t xml:space="preserve">, </w:t>
            </w:r>
            <w:r w:rsidRPr="00D063B3">
              <w:rPr>
                <w:rFonts w:ascii="Arial" w:hAnsi="Arial" w:cs="Arial"/>
                <w:sz w:val="20"/>
                <w:szCs w:val="20"/>
                <w:lang w:val="en-US"/>
              </w:rPr>
              <w:t xml:space="preserve">approvals, and </w:t>
            </w:r>
            <w:r>
              <w:rPr>
                <w:rFonts w:ascii="Arial" w:hAnsi="Arial" w:cs="Arial"/>
                <w:sz w:val="20"/>
                <w:szCs w:val="20"/>
                <w:lang w:val="en-US"/>
              </w:rPr>
              <w:t>authorizations</w:t>
            </w:r>
            <w:r w:rsidRPr="00D063B3">
              <w:rPr>
                <w:rFonts w:ascii="Arial" w:hAnsi="Arial" w:cs="Arial"/>
                <w:sz w:val="20"/>
                <w:szCs w:val="20"/>
                <w:lang w:val="en-US"/>
              </w:rPr>
              <w:t xml:space="preserve"> for signing this </w:t>
            </w:r>
            <w:r>
              <w:rPr>
                <w:rFonts w:ascii="Arial" w:hAnsi="Arial" w:cs="Arial"/>
                <w:sz w:val="20"/>
                <w:szCs w:val="20"/>
                <w:lang w:val="en-US"/>
              </w:rPr>
              <w:t>A</w:t>
            </w:r>
            <w:r w:rsidR="00382A25">
              <w:rPr>
                <w:rFonts w:ascii="Arial" w:hAnsi="Arial" w:cs="Arial"/>
                <w:sz w:val="20"/>
                <w:szCs w:val="20"/>
                <w:lang w:val="en-US"/>
              </w:rPr>
              <w:t xml:space="preserve">pplication, where they are </w:t>
            </w:r>
            <w:r w:rsidRPr="00D063B3">
              <w:rPr>
                <w:rFonts w:ascii="Arial" w:hAnsi="Arial" w:cs="Arial"/>
                <w:sz w:val="20"/>
                <w:szCs w:val="20"/>
                <w:lang w:val="en-US"/>
              </w:rPr>
              <w:t>required in accordance with the legislation of the Russian Federation and internal documents, as well as the absence of any restrictions on its signing;</w:t>
            </w:r>
            <w:r>
              <w:rPr>
                <w:rFonts w:ascii="Arial" w:hAnsi="Arial" w:cs="Arial"/>
                <w:sz w:val="20"/>
                <w:szCs w:val="20"/>
                <w:lang w:val="en-US"/>
              </w:rPr>
              <w:t xml:space="preserve"> and</w:t>
            </w:r>
          </w:p>
          <w:p w:rsidR="00C8159C" w:rsidRPr="00ED034B" w:rsidRDefault="00C8159C" w:rsidP="00382A25">
            <w:pPr>
              <w:pStyle w:val="a6"/>
              <w:numPr>
                <w:ilvl w:val="0"/>
                <w:numId w:val="2"/>
              </w:numPr>
              <w:shd w:val="clear" w:color="auto" w:fill="FFFFFF"/>
              <w:tabs>
                <w:tab w:val="left" w:pos="284"/>
              </w:tabs>
              <w:spacing w:after="120"/>
              <w:ind w:left="0" w:firstLine="0"/>
              <w:jc w:val="both"/>
              <w:rPr>
                <w:lang w:val="en-US"/>
              </w:rPr>
            </w:pPr>
            <w:r>
              <w:rPr>
                <w:lang w:val="en-US"/>
              </w:rPr>
              <w:t>understands</w:t>
            </w:r>
            <w:r w:rsidRPr="00D063B3">
              <w:rPr>
                <w:lang w:val="en-US"/>
              </w:rPr>
              <w:t xml:space="preserve"> that the Bank is entitled to refuse to accept this </w:t>
            </w:r>
            <w:r>
              <w:rPr>
                <w:lang w:val="en-US"/>
              </w:rPr>
              <w:t>A</w:t>
            </w:r>
            <w:r w:rsidRPr="00D063B3">
              <w:rPr>
                <w:lang w:val="en-US"/>
              </w:rPr>
              <w:t xml:space="preserve">pplication in accordance with the legislation of the Russian Federation without </w:t>
            </w:r>
            <w:r>
              <w:rPr>
                <w:lang w:val="en-US"/>
              </w:rPr>
              <w:t>giving</w:t>
            </w:r>
            <w:r w:rsidRPr="00D063B3">
              <w:rPr>
                <w:lang w:val="en-US"/>
              </w:rPr>
              <w:t xml:space="preserve"> </w:t>
            </w:r>
            <w:r w:rsidR="00382A25">
              <w:rPr>
                <w:lang w:val="en-US"/>
              </w:rPr>
              <w:t>any</w:t>
            </w:r>
            <w:r w:rsidRPr="00D063B3">
              <w:rPr>
                <w:lang w:val="en-US"/>
              </w:rPr>
              <w:t xml:space="preserve"> reason.</w:t>
            </w:r>
          </w:p>
        </w:tc>
      </w:tr>
      <w:tr w:rsidR="00C8159C" w:rsidRPr="00C076B2" w:rsidTr="00C8159C">
        <w:trPr>
          <w:trHeight w:val="33"/>
        </w:trPr>
        <w:tc>
          <w:tcPr>
            <w:tcW w:w="5246" w:type="dxa"/>
          </w:tcPr>
          <w:p w:rsidR="00C8159C" w:rsidRPr="00C076B2" w:rsidRDefault="00C8159C" w:rsidP="00382A25">
            <w:pPr>
              <w:pStyle w:val="Default"/>
              <w:spacing w:after="120"/>
              <w:jc w:val="both"/>
              <w:rPr>
                <w:rFonts w:ascii="Arial" w:hAnsi="Arial" w:cs="Arial"/>
                <w:b/>
                <w:bCs/>
                <w:sz w:val="20"/>
                <w:szCs w:val="20"/>
              </w:rPr>
            </w:pPr>
            <w:r w:rsidRPr="00C076B2">
              <w:rPr>
                <w:rFonts w:ascii="Arial" w:hAnsi="Arial" w:cs="Arial"/>
                <w:b/>
                <w:bCs/>
                <w:sz w:val="20"/>
                <w:szCs w:val="20"/>
              </w:rPr>
              <w:t>ВАЖНО</w:t>
            </w:r>
          </w:p>
        </w:tc>
        <w:tc>
          <w:tcPr>
            <w:tcW w:w="5245" w:type="dxa"/>
          </w:tcPr>
          <w:p w:rsidR="00C8159C" w:rsidRPr="00C076B2" w:rsidRDefault="00382A25" w:rsidP="00382A25">
            <w:pPr>
              <w:pStyle w:val="Default"/>
              <w:spacing w:after="120"/>
              <w:jc w:val="both"/>
              <w:rPr>
                <w:rFonts w:ascii="Arial" w:hAnsi="Arial" w:cs="Arial"/>
                <w:b/>
                <w:bCs/>
                <w:sz w:val="20"/>
                <w:szCs w:val="20"/>
              </w:rPr>
            </w:pPr>
            <w:r>
              <w:rPr>
                <w:rFonts w:ascii="Arial" w:hAnsi="Arial" w:cs="Arial"/>
                <w:b/>
                <w:bCs/>
                <w:sz w:val="20"/>
                <w:szCs w:val="20"/>
                <w:lang w:val="en-US"/>
              </w:rPr>
              <w:t>IMPORTANT</w:t>
            </w:r>
          </w:p>
        </w:tc>
      </w:tr>
      <w:tr w:rsidR="00C8159C" w:rsidRPr="00395A1F" w:rsidTr="00C8159C">
        <w:trPr>
          <w:trHeight w:val="28"/>
        </w:trPr>
        <w:tc>
          <w:tcPr>
            <w:tcW w:w="5246" w:type="dxa"/>
          </w:tcPr>
          <w:p w:rsidR="00C8159C" w:rsidRPr="00C076B2" w:rsidRDefault="00C8159C" w:rsidP="00382A25">
            <w:pPr>
              <w:pStyle w:val="Default"/>
              <w:spacing w:after="120"/>
              <w:jc w:val="both"/>
              <w:rPr>
                <w:rFonts w:ascii="Arial" w:hAnsi="Arial" w:cs="Arial"/>
                <w:b/>
                <w:bCs/>
                <w:sz w:val="20"/>
                <w:szCs w:val="20"/>
              </w:rPr>
            </w:pPr>
            <w:r w:rsidRPr="00C076B2">
              <w:rPr>
                <w:rFonts w:ascii="Arial" w:hAnsi="Arial" w:cs="Arial"/>
                <w:sz w:val="20"/>
                <w:szCs w:val="20"/>
              </w:rPr>
              <w:t>Инвестор подтверждает, что уведомлен Банком о нижеследующем:</w:t>
            </w:r>
          </w:p>
        </w:tc>
        <w:tc>
          <w:tcPr>
            <w:tcW w:w="5245" w:type="dxa"/>
          </w:tcPr>
          <w:p w:rsidR="00C8159C" w:rsidRPr="00C8159C" w:rsidRDefault="00C8159C" w:rsidP="00382A25">
            <w:pPr>
              <w:pStyle w:val="Default"/>
              <w:spacing w:after="120"/>
              <w:jc w:val="both"/>
              <w:rPr>
                <w:rFonts w:ascii="Arial" w:hAnsi="Arial" w:cs="Arial"/>
                <w:sz w:val="20"/>
                <w:szCs w:val="20"/>
                <w:lang w:val="en-US"/>
              </w:rPr>
            </w:pPr>
            <w:r w:rsidRPr="004F3E17">
              <w:rPr>
                <w:rFonts w:ascii="Arial" w:hAnsi="Arial" w:cs="Arial"/>
                <w:sz w:val="20"/>
                <w:szCs w:val="20"/>
                <w:lang w:val="en-US"/>
              </w:rPr>
              <w:t xml:space="preserve">The </w:t>
            </w:r>
            <w:r>
              <w:rPr>
                <w:rFonts w:ascii="Arial" w:hAnsi="Arial" w:cs="Arial"/>
                <w:sz w:val="20"/>
                <w:szCs w:val="20"/>
                <w:lang w:val="en-US"/>
              </w:rPr>
              <w:t>I</w:t>
            </w:r>
            <w:r w:rsidRPr="004F3E17">
              <w:rPr>
                <w:rFonts w:ascii="Arial" w:hAnsi="Arial" w:cs="Arial"/>
                <w:sz w:val="20"/>
                <w:szCs w:val="20"/>
                <w:lang w:val="en-US"/>
              </w:rPr>
              <w:t xml:space="preserve">nvestor confirms that </w:t>
            </w:r>
            <w:r>
              <w:rPr>
                <w:rFonts w:ascii="Arial" w:hAnsi="Arial" w:cs="Arial"/>
                <w:sz w:val="20"/>
                <w:szCs w:val="20"/>
                <w:lang w:val="en-US"/>
              </w:rPr>
              <w:t>it</w:t>
            </w:r>
            <w:r w:rsidRPr="004F3E17">
              <w:rPr>
                <w:rFonts w:ascii="Arial" w:hAnsi="Arial" w:cs="Arial"/>
                <w:sz w:val="20"/>
                <w:szCs w:val="20"/>
                <w:lang w:val="en-US"/>
              </w:rPr>
              <w:t xml:space="preserve"> has been notified by the Bank of the following:</w:t>
            </w:r>
          </w:p>
        </w:tc>
      </w:tr>
      <w:tr w:rsidR="00C8159C" w:rsidRPr="00395A1F" w:rsidTr="00FF6704">
        <w:trPr>
          <w:trHeight w:val="28"/>
        </w:trPr>
        <w:tc>
          <w:tcPr>
            <w:tcW w:w="10491" w:type="dxa"/>
            <w:gridSpan w:val="2"/>
          </w:tcPr>
          <w:p w:rsidR="00C8159C" w:rsidRPr="00ED034B" w:rsidRDefault="00C8159C" w:rsidP="005C10D2">
            <w:pPr>
              <w:pStyle w:val="Default"/>
              <w:spacing w:after="120"/>
              <w:jc w:val="both"/>
              <w:rPr>
                <w:rFonts w:ascii="Arial" w:hAnsi="Arial" w:cs="Arial"/>
                <w:sz w:val="20"/>
                <w:szCs w:val="20"/>
                <w:lang w:val="en-US"/>
              </w:rPr>
            </w:pPr>
            <w:r w:rsidRPr="00C076B2">
              <w:rPr>
                <w:rFonts w:ascii="Arial" w:hAnsi="Arial" w:cs="Arial"/>
                <w:sz w:val="20"/>
                <w:szCs w:val="20"/>
              </w:rPr>
              <w:fldChar w:fldCharType="begin">
                <w:ffData>
                  <w:name w:val="Флажок2"/>
                  <w:enabled/>
                  <w:calcOnExit w:val="0"/>
                  <w:checkBox>
                    <w:sizeAuto/>
                    <w:default w:val="0"/>
                  </w:checkBox>
                </w:ffData>
              </w:fldChar>
            </w:r>
            <w:r w:rsidRPr="00C076B2">
              <w:rPr>
                <w:rFonts w:ascii="Arial" w:hAnsi="Arial" w:cs="Arial"/>
                <w:sz w:val="20"/>
                <w:szCs w:val="20"/>
              </w:rPr>
              <w:instrText xml:space="preserve"> FORMCHECKBOX </w:instrText>
            </w:r>
            <w:r w:rsidR="00ED47AF">
              <w:rPr>
                <w:rFonts w:ascii="Arial" w:hAnsi="Arial" w:cs="Arial"/>
                <w:sz w:val="20"/>
                <w:szCs w:val="20"/>
              </w:rPr>
            </w:r>
            <w:r w:rsidR="00ED47AF">
              <w:rPr>
                <w:rFonts w:ascii="Arial" w:hAnsi="Arial" w:cs="Arial"/>
                <w:sz w:val="20"/>
                <w:szCs w:val="20"/>
              </w:rPr>
              <w:fldChar w:fldCharType="separate"/>
            </w:r>
            <w:r w:rsidRPr="00C076B2">
              <w:rPr>
                <w:rFonts w:ascii="Arial" w:hAnsi="Arial" w:cs="Arial"/>
                <w:sz w:val="20"/>
                <w:szCs w:val="20"/>
              </w:rPr>
              <w:fldChar w:fldCharType="end"/>
            </w:r>
            <w:r w:rsidRPr="00C076B2">
              <w:rPr>
                <w:rFonts w:ascii="Arial" w:hAnsi="Arial" w:cs="Arial"/>
                <w:sz w:val="20"/>
                <w:szCs w:val="20"/>
              </w:rPr>
              <w:t xml:space="preserve"> О рисках, связанных с осуществлением операций на рынке ценных бумаг. Подписью на настоящем Заявлении Инвестор подтверждает ознакомление с Декларацией (уведомлением) о рисках, связанных с осуществлением операций на рынке ценных бумаг, утвержденной в Банке (ТФ-2208-1/1 и ТФ-2208-1/2) и размещенной на официальном сайте ПАО РОСБАНК в информационно-телекоммуникационной сети «Интернет» по адресу: </w:t>
            </w:r>
            <w:hyperlink r:id="rId14" w:history="1">
              <w:r w:rsidRPr="00C076B2">
                <w:rPr>
                  <w:rStyle w:val="ab"/>
                  <w:rFonts w:ascii="Arial" w:hAnsi="Arial" w:cs="Arial"/>
                  <w:sz w:val="20"/>
                  <w:szCs w:val="20"/>
                  <w:lang w:val="en-US"/>
                </w:rPr>
                <w:t>www</w:t>
              </w:r>
              <w:r w:rsidRPr="00C076B2">
                <w:rPr>
                  <w:rStyle w:val="ab"/>
                  <w:rFonts w:ascii="Arial" w:hAnsi="Arial" w:cs="Arial"/>
                  <w:sz w:val="20"/>
                  <w:szCs w:val="20"/>
                </w:rPr>
                <w:t>.</w:t>
              </w:r>
              <w:r w:rsidRPr="00C076B2">
                <w:rPr>
                  <w:rStyle w:val="ab"/>
                  <w:rFonts w:ascii="Arial" w:hAnsi="Arial" w:cs="Arial"/>
                  <w:sz w:val="20"/>
                  <w:szCs w:val="20"/>
                  <w:lang w:val="en-US"/>
                </w:rPr>
                <w:t>rosbank</w:t>
              </w:r>
              <w:r w:rsidRPr="00C076B2">
                <w:rPr>
                  <w:rStyle w:val="ab"/>
                  <w:rFonts w:ascii="Arial" w:hAnsi="Arial" w:cs="Arial"/>
                  <w:sz w:val="20"/>
                  <w:szCs w:val="20"/>
                </w:rPr>
                <w:t>.</w:t>
              </w:r>
              <w:r w:rsidRPr="00C076B2">
                <w:rPr>
                  <w:rStyle w:val="ab"/>
                  <w:rFonts w:ascii="Arial" w:hAnsi="Arial" w:cs="Arial"/>
                  <w:sz w:val="20"/>
                  <w:szCs w:val="20"/>
                  <w:lang w:val="en-US"/>
                </w:rPr>
                <w:t>ru</w:t>
              </w:r>
            </w:hyperlink>
            <w:r w:rsidRPr="00C076B2">
              <w:rPr>
                <w:rFonts w:ascii="Arial" w:hAnsi="Arial" w:cs="Arial"/>
                <w:sz w:val="20"/>
                <w:szCs w:val="20"/>
              </w:rPr>
              <w:t>.</w:t>
            </w:r>
            <w:r w:rsidRPr="00C8159C">
              <w:rPr>
                <w:rFonts w:ascii="Arial" w:hAnsi="Arial" w:cs="Arial"/>
                <w:sz w:val="20"/>
                <w:szCs w:val="20"/>
              </w:rPr>
              <w:t xml:space="preserve"> / </w:t>
            </w:r>
            <w:r>
              <w:rPr>
                <w:rFonts w:ascii="Arial" w:hAnsi="Arial" w:cs="Arial"/>
                <w:sz w:val="20"/>
                <w:szCs w:val="20"/>
                <w:lang w:val="en-US"/>
              </w:rPr>
              <w:t>About</w:t>
            </w:r>
            <w:r w:rsidRPr="00C8159C">
              <w:rPr>
                <w:rFonts w:ascii="Arial" w:hAnsi="Arial" w:cs="Arial"/>
                <w:sz w:val="20"/>
                <w:szCs w:val="20"/>
              </w:rPr>
              <w:t xml:space="preserve"> </w:t>
            </w:r>
            <w:r w:rsidRPr="000678D0">
              <w:rPr>
                <w:rFonts w:ascii="Arial" w:hAnsi="Arial" w:cs="Arial"/>
                <w:sz w:val="20"/>
                <w:szCs w:val="20"/>
                <w:lang w:val="en-US"/>
              </w:rPr>
              <w:t>the</w:t>
            </w:r>
            <w:r w:rsidRPr="00C8159C">
              <w:rPr>
                <w:rFonts w:ascii="Arial" w:hAnsi="Arial" w:cs="Arial"/>
                <w:sz w:val="20"/>
                <w:szCs w:val="20"/>
              </w:rPr>
              <w:t xml:space="preserve"> </w:t>
            </w:r>
            <w:r w:rsidRPr="000678D0">
              <w:rPr>
                <w:rFonts w:ascii="Arial" w:hAnsi="Arial" w:cs="Arial"/>
                <w:sz w:val="20"/>
                <w:szCs w:val="20"/>
                <w:lang w:val="en-US"/>
              </w:rPr>
              <w:t>risks</w:t>
            </w:r>
            <w:r w:rsidRPr="00C8159C">
              <w:rPr>
                <w:rFonts w:ascii="Arial" w:hAnsi="Arial" w:cs="Arial"/>
                <w:sz w:val="20"/>
                <w:szCs w:val="20"/>
              </w:rPr>
              <w:t xml:space="preserve"> </w:t>
            </w:r>
            <w:r w:rsidRPr="000678D0">
              <w:rPr>
                <w:rFonts w:ascii="Arial" w:hAnsi="Arial" w:cs="Arial"/>
                <w:sz w:val="20"/>
                <w:szCs w:val="20"/>
                <w:lang w:val="en-US"/>
              </w:rPr>
              <w:t>associated</w:t>
            </w:r>
            <w:r w:rsidRPr="00C8159C">
              <w:rPr>
                <w:rFonts w:ascii="Arial" w:hAnsi="Arial" w:cs="Arial"/>
                <w:sz w:val="20"/>
                <w:szCs w:val="20"/>
              </w:rPr>
              <w:t xml:space="preserve"> </w:t>
            </w:r>
            <w:r w:rsidRPr="000678D0">
              <w:rPr>
                <w:rFonts w:ascii="Arial" w:hAnsi="Arial" w:cs="Arial"/>
                <w:sz w:val="20"/>
                <w:szCs w:val="20"/>
                <w:lang w:val="en-US"/>
              </w:rPr>
              <w:t>with</w:t>
            </w:r>
            <w:r w:rsidRPr="00C8159C">
              <w:rPr>
                <w:rFonts w:ascii="Arial" w:hAnsi="Arial" w:cs="Arial"/>
                <w:sz w:val="20"/>
                <w:szCs w:val="20"/>
              </w:rPr>
              <w:t xml:space="preserve"> </w:t>
            </w:r>
            <w:r w:rsidR="005C10D2">
              <w:rPr>
                <w:rFonts w:ascii="Arial" w:hAnsi="Arial" w:cs="Arial"/>
                <w:sz w:val="20"/>
                <w:szCs w:val="20"/>
                <w:lang w:val="en-US"/>
              </w:rPr>
              <w:t>transactions</w:t>
            </w:r>
            <w:r w:rsidRPr="00C8159C">
              <w:rPr>
                <w:rFonts w:ascii="Arial" w:hAnsi="Arial" w:cs="Arial"/>
                <w:sz w:val="20"/>
                <w:szCs w:val="20"/>
              </w:rPr>
              <w:t xml:space="preserve"> </w:t>
            </w:r>
            <w:r>
              <w:rPr>
                <w:rFonts w:ascii="Arial" w:hAnsi="Arial" w:cs="Arial"/>
                <w:sz w:val="20"/>
                <w:szCs w:val="20"/>
                <w:lang w:val="en-US"/>
              </w:rPr>
              <w:t>made</w:t>
            </w:r>
            <w:r w:rsidRPr="00C8159C">
              <w:rPr>
                <w:rFonts w:ascii="Arial" w:hAnsi="Arial" w:cs="Arial"/>
                <w:sz w:val="20"/>
                <w:szCs w:val="20"/>
              </w:rPr>
              <w:t xml:space="preserve"> </w:t>
            </w:r>
            <w:r w:rsidRPr="000678D0">
              <w:rPr>
                <w:rFonts w:ascii="Arial" w:hAnsi="Arial" w:cs="Arial"/>
                <w:sz w:val="20"/>
                <w:szCs w:val="20"/>
                <w:lang w:val="en-US"/>
              </w:rPr>
              <w:t>in</w:t>
            </w:r>
            <w:r w:rsidRPr="00C8159C">
              <w:rPr>
                <w:rFonts w:ascii="Arial" w:hAnsi="Arial" w:cs="Arial"/>
                <w:sz w:val="20"/>
                <w:szCs w:val="20"/>
              </w:rPr>
              <w:t xml:space="preserve"> </w:t>
            </w:r>
            <w:r w:rsidRPr="000678D0">
              <w:rPr>
                <w:rFonts w:ascii="Arial" w:hAnsi="Arial" w:cs="Arial"/>
                <w:sz w:val="20"/>
                <w:szCs w:val="20"/>
                <w:lang w:val="en-US"/>
              </w:rPr>
              <w:t>the</w:t>
            </w:r>
            <w:r w:rsidRPr="00C8159C">
              <w:rPr>
                <w:rFonts w:ascii="Arial" w:hAnsi="Arial" w:cs="Arial"/>
                <w:sz w:val="20"/>
                <w:szCs w:val="20"/>
              </w:rPr>
              <w:t xml:space="preserve"> </w:t>
            </w:r>
            <w:r w:rsidRPr="000678D0">
              <w:rPr>
                <w:rFonts w:ascii="Arial" w:hAnsi="Arial" w:cs="Arial"/>
                <w:sz w:val="20"/>
                <w:szCs w:val="20"/>
                <w:lang w:val="en-US"/>
              </w:rPr>
              <w:t>securities</w:t>
            </w:r>
            <w:r w:rsidRPr="00C8159C">
              <w:rPr>
                <w:rFonts w:ascii="Arial" w:hAnsi="Arial" w:cs="Arial"/>
                <w:sz w:val="20"/>
                <w:szCs w:val="20"/>
              </w:rPr>
              <w:t xml:space="preserve"> </w:t>
            </w:r>
            <w:r w:rsidRPr="000678D0">
              <w:rPr>
                <w:rFonts w:ascii="Arial" w:hAnsi="Arial" w:cs="Arial"/>
                <w:sz w:val="20"/>
                <w:szCs w:val="20"/>
                <w:lang w:val="en-US"/>
              </w:rPr>
              <w:t>market</w:t>
            </w:r>
            <w:r w:rsidRPr="00C8159C">
              <w:rPr>
                <w:rFonts w:ascii="Arial" w:hAnsi="Arial" w:cs="Arial"/>
                <w:sz w:val="20"/>
                <w:szCs w:val="20"/>
              </w:rPr>
              <w:t xml:space="preserve">. </w:t>
            </w:r>
            <w:r w:rsidRPr="000678D0">
              <w:rPr>
                <w:rFonts w:ascii="Arial" w:hAnsi="Arial" w:cs="Arial"/>
                <w:sz w:val="20"/>
                <w:szCs w:val="20"/>
                <w:lang w:val="en-US"/>
              </w:rPr>
              <w:t xml:space="preserve">By signing this Application, the Investor confirms acquaintance with the </w:t>
            </w:r>
            <w:r>
              <w:rPr>
                <w:rFonts w:ascii="Arial" w:hAnsi="Arial" w:cs="Arial"/>
                <w:sz w:val="20"/>
                <w:szCs w:val="20"/>
                <w:lang w:val="en-US"/>
              </w:rPr>
              <w:t>Risk</w:t>
            </w:r>
            <w:r w:rsidRPr="000678D0">
              <w:rPr>
                <w:rFonts w:ascii="Arial" w:hAnsi="Arial" w:cs="Arial"/>
                <w:sz w:val="20"/>
                <w:szCs w:val="20"/>
                <w:lang w:val="en-US"/>
              </w:rPr>
              <w:t xml:space="preserve"> Declaration (notice) </w:t>
            </w:r>
            <w:r>
              <w:rPr>
                <w:rFonts w:ascii="Arial" w:hAnsi="Arial" w:cs="Arial"/>
                <w:sz w:val="20"/>
                <w:szCs w:val="20"/>
                <w:lang w:val="en-US"/>
              </w:rPr>
              <w:t>relating to</w:t>
            </w:r>
            <w:r w:rsidRPr="000678D0">
              <w:rPr>
                <w:rFonts w:ascii="Arial" w:hAnsi="Arial" w:cs="Arial"/>
                <w:sz w:val="20"/>
                <w:szCs w:val="20"/>
                <w:lang w:val="en-US"/>
              </w:rPr>
              <w:t xml:space="preserve"> </w:t>
            </w:r>
            <w:r>
              <w:rPr>
                <w:rFonts w:ascii="Arial" w:hAnsi="Arial" w:cs="Arial"/>
                <w:sz w:val="20"/>
                <w:szCs w:val="20"/>
                <w:lang w:val="en-US"/>
              </w:rPr>
              <w:t>any</w:t>
            </w:r>
            <w:r w:rsidRPr="000678D0">
              <w:rPr>
                <w:rFonts w:ascii="Arial" w:hAnsi="Arial" w:cs="Arial"/>
                <w:sz w:val="20"/>
                <w:szCs w:val="20"/>
                <w:lang w:val="en-US"/>
              </w:rPr>
              <w:t xml:space="preserve"> </w:t>
            </w:r>
            <w:r w:rsidR="005C10D2">
              <w:rPr>
                <w:rFonts w:ascii="Arial" w:hAnsi="Arial" w:cs="Arial"/>
                <w:sz w:val="20"/>
                <w:szCs w:val="20"/>
                <w:lang w:val="en-US"/>
              </w:rPr>
              <w:t xml:space="preserve">transactions on </w:t>
            </w:r>
            <w:r w:rsidRPr="000678D0">
              <w:rPr>
                <w:rFonts w:ascii="Arial" w:hAnsi="Arial" w:cs="Arial"/>
                <w:sz w:val="20"/>
                <w:szCs w:val="20"/>
                <w:lang w:val="en-US"/>
              </w:rPr>
              <w:t>the securities market approved by the Bank (</w:t>
            </w:r>
            <w:r w:rsidRPr="000678D0">
              <w:rPr>
                <w:rFonts w:ascii="Arial" w:hAnsi="Arial" w:cs="Arial"/>
                <w:sz w:val="20"/>
                <w:szCs w:val="20"/>
              </w:rPr>
              <w:t>Т</w:t>
            </w:r>
            <w:r>
              <w:rPr>
                <w:rFonts w:ascii="Arial" w:hAnsi="Arial" w:cs="Arial"/>
                <w:sz w:val="20"/>
                <w:szCs w:val="20"/>
                <w:lang w:val="en-US"/>
              </w:rPr>
              <w:t>F-2208-1/</w:t>
            </w:r>
            <w:r w:rsidRPr="000678D0">
              <w:rPr>
                <w:rFonts w:ascii="Arial" w:hAnsi="Arial" w:cs="Arial"/>
                <w:sz w:val="20"/>
                <w:szCs w:val="20"/>
                <w:lang w:val="en-US"/>
              </w:rPr>
              <w:t xml:space="preserve">1 and </w:t>
            </w:r>
            <w:r w:rsidRPr="000678D0">
              <w:rPr>
                <w:rFonts w:ascii="Arial" w:hAnsi="Arial" w:cs="Arial"/>
                <w:sz w:val="20"/>
                <w:szCs w:val="20"/>
              </w:rPr>
              <w:t>Т</w:t>
            </w:r>
            <w:r>
              <w:rPr>
                <w:rFonts w:ascii="Arial" w:hAnsi="Arial" w:cs="Arial"/>
                <w:sz w:val="20"/>
                <w:szCs w:val="20"/>
                <w:lang w:val="en-US"/>
              </w:rPr>
              <w:t>F</w:t>
            </w:r>
            <w:r w:rsidRPr="000678D0">
              <w:rPr>
                <w:rFonts w:ascii="Arial" w:hAnsi="Arial" w:cs="Arial"/>
                <w:sz w:val="20"/>
                <w:szCs w:val="20"/>
                <w:lang w:val="en-US"/>
              </w:rPr>
              <w:t>-2208-1</w:t>
            </w:r>
            <w:r>
              <w:rPr>
                <w:rFonts w:ascii="Arial" w:hAnsi="Arial" w:cs="Arial"/>
                <w:sz w:val="20"/>
                <w:szCs w:val="20"/>
                <w:lang w:val="en-US"/>
              </w:rPr>
              <w:t>/</w:t>
            </w:r>
            <w:r w:rsidRPr="000678D0">
              <w:rPr>
                <w:rFonts w:ascii="Arial" w:hAnsi="Arial" w:cs="Arial"/>
                <w:sz w:val="20"/>
                <w:szCs w:val="20"/>
                <w:lang w:val="en-US"/>
              </w:rPr>
              <w:t xml:space="preserve">2) and posted on the official website of PJSC ROSBANK </w:t>
            </w:r>
            <w:r>
              <w:rPr>
                <w:rFonts w:ascii="Arial" w:hAnsi="Arial" w:cs="Arial"/>
                <w:sz w:val="20"/>
                <w:szCs w:val="20"/>
                <w:lang w:val="en-US"/>
              </w:rPr>
              <w:t>at</w:t>
            </w:r>
            <w:r w:rsidRPr="000678D0">
              <w:rPr>
                <w:rFonts w:ascii="Arial" w:hAnsi="Arial" w:cs="Arial"/>
                <w:sz w:val="20"/>
                <w:szCs w:val="20"/>
                <w:lang w:val="en-US"/>
              </w:rPr>
              <w:t xml:space="preserve">: </w:t>
            </w:r>
            <w:hyperlink r:id="rId15" w:history="1">
              <w:r w:rsidRPr="00C076B2">
                <w:rPr>
                  <w:rStyle w:val="ab"/>
                  <w:rFonts w:ascii="Arial" w:hAnsi="Arial" w:cs="Arial"/>
                  <w:sz w:val="20"/>
                  <w:szCs w:val="20"/>
                  <w:lang w:val="en-US"/>
                </w:rPr>
                <w:t>www</w:t>
              </w:r>
              <w:r w:rsidRPr="000678D0">
                <w:rPr>
                  <w:rStyle w:val="ab"/>
                  <w:rFonts w:ascii="Arial" w:hAnsi="Arial" w:cs="Arial"/>
                  <w:sz w:val="20"/>
                  <w:szCs w:val="20"/>
                  <w:lang w:val="en-US"/>
                </w:rPr>
                <w:t>.</w:t>
              </w:r>
              <w:r w:rsidRPr="00C076B2">
                <w:rPr>
                  <w:rStyle w:val="ab"/>
                  <w:rFonts w:ascii="Arial" w:hAnsi="Arial" w:cs="Arial"/>
                  <w:sz w:val="20"/>
                  <w:szCs w:val="20"/>
                  <w:lang w:val="en-US"/>
                </w:rPr>
                <w:t>rosbank</w:t>
              </w:r>
              <w:r w:rsidRPr="000678D0">
                <w:rPr>
                  <w:rStyle w:val="ab"/>
                  <w:rFonts w:ascii="Arial" w:hAnsi="Arial" w:cs="Arial"/>
                  <w:sz w:val="20"/>
                  <w:szCs w:val="20"/>
                  <w:lang w:val="en-US"/>
                </w:rPr>
                <w:t>.</w:t>
              </w:r>
              <w:r w:rsidRPr="00C076B2">
                <w:rPr>
                  <w:rStyle w:val="ab"/>
                  <w:rFonts w:ascii="Arial" w:hAnsi="Arial" w:cs="Arial"/>
                  <w:sz w:val="20"/>
                  <w:szCs w:val="20"/>
                  <w:lang w:val="en-US"/>
                </w:rPr>
                <w:t>ru</w:t>
              </w:r>
            </w:hyperlink>
            <w:r w:rsidRPr="000678D0">
              <w:rPr>
                <w:rFonts w:ascii="Arial" w:hAnsi="Arial" w:cs="Arial"/>
                <w:sz w:val="20"/>
                <w:szCs w:val="20"/>
                <w:lang w:val="en-US"/>
              </w:rPr>
              <w:t>.</w:t>
            </w:r>
          </w:p>
        </w:tc>
      </w:tr>
      <w:tr w:rsidR="00C8159C" w:rsidRPr="00C076B2" w:rsidTr="005C10D2">
        <w:tc>
          <w:tcPr>
            <w:tcW w:w="5246" w:type="dxa"/>
          </w:tcPr>
          <w:p w:rsidR="00C8159C" w:rsidRPr="00C076B2" w:rsidRDefault="00C8159C" w:rsidP="005C10D2">
            <w:pPr>
              <w:pStyle w:val="Default"/>
              <w:spacing w:after="120"/>
              <w:rPr>
                <w:rFonts w:ascii="Arial" w:hAnsi="Arial" w:cs="Arial"/>
                <w:sz w:val="20"/>
                <w:szCs w:val="20"/>
              </w:rPr>
            </w:pPr>
            <w:r w:rsidRPr="00C076B2">
              <w:rPr>
                <w:rFonts w:ascii="Arial" w:hAnsi="Arial" w:cs="Arial"/>
                <w:b/>
                <w:bCs/>
                <w:sz w:val="20"/>
                <w:szCs w:val="20"/>
              </w:rPr>
              <w:t xml:space="preserve">Персональные данные </w:t>
            </w:r>
          </w:p>
        </w:tc>
        <w:tc>
          <w:tcPr>
            <w:tcW w:w="5245" w:type="dxa"/>
          </w:tcPr>
          <w:p w:rsidR="00C8159C" w:rsidRPr="00C076B2" w:rsidRDefault="00C8159C" w:rsidP="005C10D2">
            <w:pPr>
              <w:pStyle w:val="Default"/>
              <w:spacing w:after="120"/>
              <w:rPr>
                <w:rFonts w:ascii="Arial" w:hAnsi="Arial" w:cs="Arial"/>
                <w:sz w:val="20"/>
                <w:szCs w:val="20"/>
              </w:rPr>
            </w:pPr>
            <w:r>
              <w:rPr>
                <w:rFonts w:ascii="Arial" w:hAnsi="Arial" w:cs="Arial"/>
                <w:b/>
                <w:bCs/>
                <w:sz w:val="20"/>
                <w:szCs w:val="20"/>
                <w:lang w:val="en-US"/>
              </w:rPr>
              <w:t>Personal Data</w:t>
            </w:r>
            <w:r w:rsidRPr="00C076B2">
              <w:rPr>
                <w:rFonts w:ascii="Arial" w:hAnsi="Arial" w:cs="Arial"/>
                <w:b/>
                <w:bCs/>
                <w:sz w:val="20"/>
                <w:szCs w:val="20"/>
              </w:rPr>
              <w:t xml:space="preserve"> </w:t>
            </w:r>
          </w:p>
        </w:tc>
      </w:tr>
      <w:tr w:rsidR="005C10D2" w:rsidRPr="00395A1F" w:rsidTr="005C10D2">
        <w:tc>
          <w:tcPr>
            <w:tcW w:w="5246" w:type="dxa"/>
          </w:tcPr>
          <w:p w:rsidR="005C10D2" w:rsidRPr="00C076B2" w:rsidRDefault="005C10D2" w:rsidP="005C10D2">
            <w:pPr>
              <w:pStyle w:val="Default"/>
              <w:spacing w:after="120"/>
              <w:jc w:val="both"/>
              <w:rPr>
                <w:rFonts w:ascii="Arial" w:hAnsi="Arial" w:cs="Arial"/>
                <w:sz w:val="20"/>
                <w:szCs w:val="20"/>
              </w:rPr>
            </w:pPr>
            <w:r w:rsidRPr="00C076B2">
              <w:rPr>
                <w:rFonts w:ascii="Arial" w:hAnsi="Arial" w:cs="Arial"/>
                <w:sz w:val="20"/>
                <w:szCs w:val="20"/>
              </w:rPr>
              <w:t xml:space="preserve">Автоматизированная и неавтоматизированная </w:t>
            </w:r>
            <w:r w:rsidRPr="00C076B2">
              <w:rPr>
                <w:rFonts w:ascii="Arial" w:hAnsi="Arial" w:cs="Arial"/>
                <w:sz w:val="20"/>
                <w:szCs w:val="20"/>
              </w:rPr>
              <w:lastRenderedPageBreak/>
              <w:t>обработка персональных данных, указанных в настоящем Заявлении, осуществляется Банком с целью присоединения к Регламенту, заключения и исполнения Договора о брокерском обслуживании. Обработка включает в себя: сбор, запись, систематизацию, хранение, извлечение, использование, передачу (предоставление) третьим лицам</w:t>
            </w:r>
            <w:r w:rsidRPr="00C076B2">
              <w:rPr>
                <w:rStyle w:val="a9"/>
                <w:rFonts w:ascii="Arial" w:hAnsi="Arial" w:cs="Arial"/>
                <w:sz w:val="20"/>
                <w:szCs w:val="20"/>
              </w:rPr>
              <w:footnoteReference w:id="1"/>
            </w:r>
            <w:r w:rsidRPr="00C076B2">
              <w:rPr>
                <w:rFonts w:ascii="Arial" w:hAnsi="Arial" w:cs="Arial"/>
                <w:sz w:val="20"/>
                <w:szCs w:val="20"/>
              </w:rPr>
              <w:t>, их работникам и уполномоченным ими лицам, включая трансграничную передачу на территории иностранных государств, обеспечивающих адекватную защиту прав субъектов персональных данных, обезличивание, блокирование и уничтожение. Срок обработки персональных данных ограничивается сроком действия Договора о брокерском обслуживании, заключенного между Банком и Инвестором.</w:t>
            </w:r>
          </w:p>
        </w:tc>
        <w:tc>
          <w:tcPr>
            <w:tcW w:w="5245" w:type="dxa"/>
          </w:tcPr>
          <w:p w:rsidR="005C10D2" w:rsidRPr="000678D0" w:rsidRDefault="005C10D2" w:rsidP="005C10D2">
            <w:pPr>
              <w:pStyle w:val="Default"/>
              <w:spacing w:after="120"/>
              <w:jc w:val="both"/>
              <w:rPr>
                <w:rFonts w:ascii="Arial" w:hAnsi="Arial" w:cs="Arial"/>
                <w:sz w:val="20"/>
                <w:szCs w:val="20"/>
                <w:lang w:val="en-US"/>
              </w:rPr>
            </w:pPr>
            <w:r w:rsidRPr="000678D0">
              <w:rPr>
                <w:rFonts w:ascii="Arial" w:hAnsi="Arial" w:cs="Arial"/>
                <w:sz w:val="20"/>
                <w:szCs w:val="20"/>
                <w:lang w:val="en-US"/>
              </w:rPr>
              <w:lastRenderedPageBreak/>
              <w:t xml:space="preserve">Automated and non-automated processing of personal </w:t>
            </w:r>
            <w:r w:rsidRPr="000678D0">
              <w:rPr>
                <w:rFonts w:ascii="Arial" w:hAnsi="Arial" w:cs="Arial"/>
                <w:sz w:val="20"/>
                <w:szCs w:val="20"/>
                <w:lang w:val="en-US"/>
              </w:rPr>
              <w:lastRenderedPageBreak/>
              <w:t xml:space="preserve">data </w:t>
            </w:r>
            <w:r>
              <w:rPr>
                <w:rFonts w:ascii="Arial" w:hAnsi="Arial" w:cs="Arial"/>
                <w:sz w:val="20"/>
                <w:szCs w:val="20"/>
                <w:lang w:val="en-US"/>
              </w:rPr>
              <w:t>as set forth</w:t>
            </w:r>
            <w:r w:rsidRPr="000678D0">
              <w:rPr>
                <w:rFonts w:ascii="Arial" w:hAnsi="Arial" w:cs="Arial"/>
                <w:sz w:val="20"/>
                <w:szCs w:val="20"/>
                <w:lang w:val="en-US"/>
              </w:rPr>
              <w:t xml:space="preserve"> in this Application is carried out by the Bank for the purpose of joining the </w:t>
            </w:r>
            <w:r>
              <w:rPr>
                <w:rFonts w:ascii="Arial" w:hAnsi="Arial" w:cs="Arial"/>
                <w:bCs/>
                <w:color w:val="auto"/>
                <w:sz w:val="20"/>
                <w:szCs w:val="20"/>
                <w:lang w:val="en-US"/>
              </w:rPr>
              <w:t>T</w:t>
            </w:r>
            <w:r w:rsidRPr="00D31582">
              <w:rPr>
                <w:rFonts w:ascii="Arial" w:hAnsi="Arial" w:cs="Arial"/>
                <w:bCs/>
                <w:color w:val="auto"/>
                <w:sz w:val="20"/>
                <w:szCs w:val="20"/>
                <w:lang w:val="en-US"/>
              </w:rPr>
              <w:t>e</w:t>
            </w:r>
            <w:r>
              <w:rPr>
                <w:rFonts w:ascii="Arial" w:hAnsi="Arial" w:cs="Arial"/>
                <w:bCs/>
                <w:color w:val="auto"/>
                <w:sz w:val="20"/>
                <w:szCs w:val="20"/>
                <w:lang w:val="en-US"/>
              </w:rPr>
              <w:t>rms and Conditions</w:t>
            </w:r>
            <w:r w:rsidRPr="000678D0">
              <w:rPr>
                <w:rFonts w:ascii="Arial" w:hAnsi="Arial" w:cs="Arial"/>
                <w:sz w:val="20"/>
                <w:szCs w:val="20"/>
                <w:lang w:val="en-US"/>
              </w:rPr>
              <w:t xml:space="preserve">, </w:t>
            </w:r>
            <w:r>
              <w:rPr>
                <w:rFonts w:ascii="Arial" w:hAnsi="Arial" w:cs="Arial"/>
                <w:sz w:val="20"/>
                <w:szCs w:val="20"/>
                <w:lang w:val="en-US"/>
              </w:rPr>
              <w:t>entry into</w:t>
            </w:r>
            <w:r w:rsidRPr="000678D0">
              <w:rPr>
                <w:rFonts w:ascii="Arial" w:hAnsi="Arial" w:cs="Arial"/>
                <w:sz w:val="20"/>
                <w:szCs w:val="20"/>
                <w:lang w:val="en-US"/>
              </w:rPr>
              <w:t xml:space="preserve"> and </w:t>
            </w:r>
            <w:r>
              <w:rPr>
                <w:rFonts w:ascii="Arial" w:hAnsi="Arial" w:cs="Arial"/>
                <w:sz w:val="20"/>
                <w:szCs w:val="20"/>
                <w:lang w:val="en-US"/>
              </w:rPr>
              <w:t xml:space="preserve">fulfilling </w:t>
            </w:r>
            <w:r w:rsidRPr="000678D0">
              <w:rPr>
                <w:rFonts w:ascii="Arial" w:hAnsi="Arial" w:cs="Arial"/>
                <w:sz w:val="20"/>
                <w:szCs w:val="20"/>
                <w:lang w:val="en-US"/>
              </w:rPr>
              <w:t xml:space="preserve">the Brokerage Service Agreement. Processing includes </w:t>
            </w:r>
            <w:r>
              <w:rPr>
                <w:rFonts w:ascii="Arial" w:hAnsi="Arial" w:cs="Arial"/>
                <w:sz w:val="20"/>
                <w:szCs w:val="20"/>
                <w:lang w:val="en-US"/>
              </w:rPr>
              <w:t>capturing</w:t>
            </w:r>
            <w:r w:rsidRPr="000678D0">
              <w:rPr>
                <w:rFonts w:ascii="Arial" w:hAnsi="Arial" w:cs="Arial"/>
                <w:sz w:val="20"/>
                <w:szCs w:val="20"/>
                <w:lang w:val="en-US"/>
              </w:rPr>
              <w:t>, recording, systematization, storage, retrieval, use, transfer (</w:t>
            </w:r>
            <w:r>
              <w:rPr>
                <w:rFonts w:ascii="Arial" w:hAnsi="Arial" w:cs="Arial"/>
                <w:sz w:val="20"/>
                <w:szCs w:val="20"/>
                <w:lang w:val="en-US"/>
              </w:rPr>
              <w:t>submission</w:t>
            </w:r>
            <w:r w:rsidRPr="000678D0">
              <w:rPr>
                <w:rFonts w:ascii="Arial" w:hAnsi="Arial" w:cs="Arial"/>
                <w:sz w:val="20"/>
                <w:szCs w:val="20"/>
                <w:lang w:val="en-US"/>
              </w:rPr>
              <w:t xml:space="preserve">) to </w:t>
            </w:r>
            <w:r>
              <w:rPr>
                <w:rFonts w:ascii="Arial" w:hAnsi="Arial" w:cs="Arial"/>
                <w:sz w:val="20"/>
                <w:szCs w:val="20"/>
                <w:lang w:val="en-US"/>
              </w:rPr>
              <w:t xml:space="preserve">the </w:t>
            </w:r>
            <w:r w:rsidRPr="000678D0">
              <w:rPr>
                <w:rFonts w:ascii="Arial" w:hAnsi="Arial" w:cs="Arial"/>
                <w:sz w:val="20"/>
                <w:szCs w:val="20"/>
                <w:lang w:val="en-US"/>
              </w:rPr>
              <w:t>third parties</w:t>
            </w:r>
            <w:r w:rsidRPr="005C10D2">
              <w:rPr>
                <w:rFonts w:ascii="Arial" w:hAnsi="Arial" w:cs="Arial"/>
                <w:sz w:val="20"/>
                <w:szCs w:val="20"/>
                <w:vertAlign w:val="superscript"/>
                <w:lang w:val="en-US"/>
              </w:rPr>
              <w:t>1</w:t>
            </w:r>
            <w:r w:rsidRPr="000678D0">
              <w:rPr>
                <w:rFonts w:ascii="Arial" w:hAnsi="Arial" w:cs="Arial"/>
                <w:sz w:val="20"/>
                <w:szCs w:val="20"/>
                <w:lang w:val="en-US"/>
              </w:rPr>
              <w:t xml:space="preserve">, their employees and persons authorized by them, including cross-border transfer </w:t>
            </w:r>
            <w:r>
              <w:rPr>
                <w:rFonts w:ascii="Arial" w:hAnsi="Arial" w:cs="Arial"/>
                <w:sz w:val="20"/>
                <w:szCs w:val="20"/>
                <w:lang w:val="en-US"/>
              </w:rPr>
              <w:t>to</w:t>
            </w:r>
            <w:r w:rsidRPr="000678D0">
              <w:rPr>
                <w:rFonts w:ascii="Arial" w:hAnsi="Arial" w:cs="Arial"/>
                <w:sz w:val="20"/>
                <w:szCs w:val="20"/>
                <w:lang w:val="en-US"/>
              </w:rPr>
              <w:t xml:space="preserve"> the territory of foreign states that </w:t>
            </w:r>
            <w:r>
              <w:rPr>
                <w:rFonts w:ascii="Arial" w:hAnsi="Arial" w:cs="Arial"/>
                <w:sz w:val="20"/>
                <w:szCs w:val="20"/>
                <w:lang w:val="en-US"/>
              </w:rPr>
              <w:t>ensure</w:t>
            </w:r>
            <w:r w:rsidRPr="000678D0">
              <w:rPr>
                <w:rFonts w:ascii="Arial" w:hAnsi="Arial" w:cs="Arial"/>
                <w:sz w:val="20"/>
                <w:szCs w:val="20"/>
                <w:lang w:val="en-US"/>
              </w:rPr>
              <w:t xml:space="preserve"> adequate protection of the rights of subjects of personal data, depersonalization, blocking and destruction. The </w:t>
            </w:r>
            <w:r>
              <w:rPr>
                <w:rFonts w:ascii="Arial" w:hAnsi="Arial" w:cs="Arial"/>
                <w:sz w:val="20"/>
                <w:szCs w:val="20"/>
                <w:lang w:val="en-US"/>
              </w:rPr>
              <w:t>timeline</w:t>
            </w:r>
            <w:r w:rsidRPr="000678D0">
              <w:rPr>
                <w:rFonts w:ascii="Arial" w:hAnsi="Arial" w:cs="Arial"/>
                <w:sz w:val="20"/>
                <w:szCs w:val="20"/>
                <w:lang w:val="en-US"/>
              </w:rPr>
              <w:t xml:space="preserve"> for processing </w:t>
            </w:r>
            <w:r>
              <w:rPr>
                <w:rFonts w:ascii="Arial" w:hAnsi="Arial" w:cs="Arial"/>
                <w:sz w:val="20"/>
                <w:szCs w:val="20"/>
                <w:lang w:val="en-US"/>
              </w:rPr>
              <w:t>any</w:t>
            </w:r>
            <w:r w:rsidRPr="000678D0">
              <w:rPr>
                <w:rFonts w:ascii="Arial" w:hAnsi="Arial" w:cs="Arial"/>
                <w:sz w:val="20"/>
                <w:szCs w:val="20"/>
                <w:lang w:val="en-US"/>
              </w:rPr>
              <w:t xml:space="preserve"> personal data is limited to the term</w:t>
            </w:r>
            <w:r>
              <w:rPr>
                <w:rFonts w:ascii="Arial" w:hAnsi="Arial" w:cs="Arial"/>
                <w:sz w:val="20"/>
                <w:szCs w:val="20"/>
                <w:lang w:val="en-US"/>
              </w:rPr>
              <w:t xml:space="preserve"> of validity</w:t>
            </w:r>
            <w:r w:rsidRPr="000678D0">
              <w:rPr>
                <w:rFonts w:ascii="Arial" w:hAnsi="Arial" w:cs="Arial"/>
                <w:sz w:val="20"/>
                <w:szCs w:val="20"/>
                <w:lang w:val="en-US"/>
              </w:rPr>
              <w:t xml:space="preserve"> of the Brokerage Service Agreement </w:t>
            </w:r>
            <w:r>
              <w:rPr>
                <w:rFonts w:ascii="Arial" w:hAnsi="Arial" w:cs="Arial"/>
                <w:sz w:val="20"/>
                <w:szCs w:val="20"/>
                <w:lang w:val="en-US"/>
              </w:rPr>
              <w:t>entered into</w:t>
            </w:r>
            <w:r w:rsidRPr="000678D0">
              <w:rPr>
                <w:rFonts w:ascii="Arial" w:hAnsi="Arial" w:cs="Arial"/>
                <w:sz w:val="20"/>
                <w:szCs w:val="20"/>
                <w:lang w:val="en-US"/>
              </w:rPr>
              <w:t xml:space="preserve"> between the Bank and the Investor.</w:t>
            </w:r>
          </w:p>
          <w:p w:rsidR="005C10D2" w:rsidRPr="000678D0" w:rsidRDefault="005C10D2" w:rsidP="005C10D2">
            <w:pPr>
              <w:pStyle w:val="Default"/>
              <w:spacing w:after="120"/>
              <w:jc w:val="both"/>
              <w:rPr>
                <w:rFonts w:ascii="Arial" w:hAnsi="Arial" w:cs="Arial"/>
                <w:sz w:val="20"/>
                <w:szCs w:val="20"/>
                <w:lang w:val="en-US"/>
              </w:rPr>
            </w:pPr>
          </w:p>
        </w:tc>
      </w:tr>
      <w:tr w:rsidR="005C10D2" w:rsidRPr="00395A1F" w:rsidTr="005C10D2">
        <w:tc>
          <w:tcPr>
            <w:tcW w:w="5246" w:type="dxa"/>
          </w:tcPr>
          <w:p w:rsidR="005C10D2" w:rsidRPr="00C076B2" w:rsidRDefault="005C10D2" w:rsidP="006C5E91">
            <w:pPr>
              <w:pStyle w:val="Default"/>
              <w:spacing w:after="120"/>
              <w:jc w:val="both"/>
              <w:rPr>
                <w:rFonts w:ascii="Arial" w:hAnsi="Arial" w:cs="Arial"/>
                <w:sz w:val="20"/>
                <w:szCs w:val="20"/>
              </w:rPr>
            </w:pPr>
            <w:r w:rsidRPr="00C076B2">
              <w:rPr>
                <w:rFonts w:ascii="Arial" w:hAnsi="Arial" w:cs="Arial"/>
                <w:sz w:val="20"/>
                <w:szCs w:val="20"/>
              </w:rPr>
              <w:lastRenderedPageBreak/>
              <w:t>Инвестор подтверждает, что им получено письменное согласие субъектов персональных данных, чьи персональные содержатся в представленных Инвестором Банку документах, полученных Банком в соответствии с Договором и/или иными законными способами, на обработку Банком, лицами, входящими в одн</w:t>
            </w:r>
            <w:r w:rsidR="006C5E91">
              <w:rPr>
                <w:rFonts w:ascii="Arial" w:hAnsi="Arial" w:cs="Arial"/>
                <w:sz w:val="20"/>
                <w:szCs w:val="20"/>
              </w:rPr>
              <w:t>у</w:t>
            </w:r>
            <w:r w:rsidRPr="00C076B2">
              <w:rPr>
                <w:rFonts w:ascii="Arial" w:hAnsi="Arial" w:cs="Arial"/>
                <w:sz w:val="20"/>
                <w:szCs w:val="20"/>
              </w:rPr>
              <w:t xml:space="preserve"> банковск</w:t>
            </w:r>
            <w:r w:rsidR="006C5E91">
              <w:rPr>
                <w:rFonts w:ascii="Arial" w:hAnsi="Arial" w:cs="Arial"/>
                <w:sz w:val="20"/>
                <w:szCs w:val="20"/>
              </w:rPr>
              <w:t>ую</w:t>
            </w:r>
            <w:r w:rsidRPr="00C076B2">
              <w:rPr>
                <w:rFonts w:ascii="Arial" w:hAnsi="Arial" w:cs="Arial"/>
                <w:sz w:val="20"/>
                <w:szCs w:val="20"/>
              </w:rPr>
              <w:t xml:space="preserve"> </w:t>
            </w:r>
            <w:r w:rsidR="006C5E91">
              <w:rPr>
                <w:rFonts w:ascii="Arial" w:hAnsi="Arial" w:cs="Arial"/>
                <w:sz w:val="20"/>
                <w:szCs w:val="20"/>
              </w:rPr>
              <w:t>группу</w:t>
            </w:r>
            <w:r w:rsidRPr="00C076B2">
              <w:rPr>
                <w:rFonts w:ascii="Arial" w:hAnsi="Arial" w:cs="Arial"/>
                <w:sz w:val="20"/>
                <w:szCs w:val="20"/>
              </w:rPr>
              <w:t xml:space="preserve"> с Банком / аффилированными лицами Банка, этих персональных данных в целях исполнения Договора и осуществления хранения, в том числе в электронном виде, и защиты конфиденциальной информации (в том числе персональных данных).</w:t>
            </w:r>
          </w:p>
        </w:tc>
        <w:tc>
          <w:tcPr>
            <w:tcW w:w="5245" w:type="dxa"/>
          </w:tcPr>
          <w:p w:rsidR="005C10D2" w:rsidRPr="000678D0" w:rsidRDefault="005C10D2" w:rsidP="005C10D2">
            <w:pPr>
              <w:pStyle w:val="Default"/>
              <w:spacing w:after="120"/>
              <w:jc w:val="both"/>
              <w:rPr>
                <w:rFonts w:ascii="Arial" w:hAnsi="Arial" w:cs="Arial"/>
                <w:sz w:val="20"/>
                <w:szCs w:val="20"/>
                <w:lang w:val="en-US"/>
              </w:rPr>
            </w:pPr>
            <w:r w:rsidRPr="000678D0">
              <w:rPr>
                <w:rFonts w:ascii="Arial" w:hAnsi="Arial" w:cs="Arial"/>
                <w:sz w:val="20"/>
                <w:szCs w:val="20"/>
                <w:lang w:val="en-US"/>
              </w:rPr>
              <w:t xml:space="preserve">The </w:t>
            </w:r>
            <w:r>
              <w:rPr>
                <w:rFonts w:ascii="Arial" w:hAnsi="Arial" w:cs="Arial"/>
                <w:sz w:val="20"/>
                <w:szCs w:val="20"/>
                <w:lang w:val="en-US"/>
              </w:rPr>
              <w:t>I</w:t>
            </w:r>
            <w:r w:rsidRPr="000678D0">
              <w:rPr>
                <w:rFonts w:ascii="Arial" w:hAnsi="Arial" w:cs="Arial"/>
                <w:sz w:val="20"/>
                <w:szCs w:val="20"/>
                <w:lang w:val="en-US"/>
              </w:rPr>
              <w:t xml:space="preserve">nvestor confirms that </w:t>
            </w:r>
            <w:r>
              <w:rPr>
                <w:rFonts w:ascii="Arial" w:hAnsi="Arial" w:cs="Arial"/>
                <w:sz w:val="20"/>
                <w:szCs w:val="20"/>
                <w:lang w:val="en-US"/>
              </w:rPr>
              <w:t>it</w:t>
            </w:r>
            <w:r w:rsidRPr="000678D0">
              <w:rPr>
                <w:rFonts w:ascii="Arial" w:hAnsi="Arial" w:cs="Arial"/>
                <w:sz w:val="20"/>
                <w:szCs w:val="20"/>
                <w:lang w:val="en-US"/>
              </w:rPr>
              <w:t xml:space="preserve"> has received the written consent of subjects </w:t>
            </w:r>
            <w:r>
              <w:rPr>
                <w:rFonts w:ascii="Arial" w:hAnsi="Arial" w:cs="Arial"/>
                <w:sz w:val="20"/>
                <w:szCs w:val="20"/>
                <w:lang w:val="en-US"/>
              </w:rPr>
              <w:t>of</w:t>
            </w:r>
            <w:r w:rsidRPr="000678D0">
              <w:rPr>
                <w:rFonts w:ascii="Arial" w:hAnsi="Arial" w:cs="Arial"/>
                <w:sz w:val="20"/>
                <w:szCs w:val="20"/>
                <w:lang w:val="en-US"/>
              </w:rPr>
              <w:t xml:space="preserve"> personal data whose personal </w:t>
            </w:r>
            <w:r>
              <w:rPr>
                <w:rFonts w:ascii="Arial" w:hAnsi="Arial" w:cs="Arial"/>
                <w:sz w:val="20"/>
                <w:szCs w:val="20"/>
                <w:lang w:val="en-US"/>
              </w:rPr>
              <w:t xml:space="preserve">data </w:t>
            </w:r>
            <w:r w:rsidRPr="000678D0">
              <w:rPr>
                <w:rFonts w:ascii="Arial" w:hAnsi="Arial" w:cs="Arial"/>
                <w:sz w:val="20"/>
                <w:szCs w:val="20"/>
                <w:lang w:val="en-US"/>
              </w:rPr>
              <w:t>are contained in the documents submit</w:t>
            </w:r>
            <w:r>
              <w:rPr>
                <w:rFonts w:ascii="Arial" w:hAnsi="Arial" w:cs="Arial"/>
                <w:sz w:val="20"/>
                <w:szCs w:val="20"/>
                <w:lang w:val="en-US"/>
              </w:rPr>
              <w:t>ted by the Investor to the Bank,</w:t>
            </w:r>
            <w:r w:rsidRPr="000678D0">
              <w:rPr>
                <w:rFonts w:ascii="Arial" w:hAnsi="Arial" w:cs="Arial"/>
                <w:sz w:val="20"/>
                <w:szCs w:val="20"/>
                <w:lang w:val="en-US"/>
              </w:rPr>
              <w:t xml:space="preserve"> received by the Bank in accordance with the </w:t>
            </w:r>
            <w:r>
              <w:rPr>
                <w:rFonts w:ascii="Arial" w:hAnsi="Arial" w:cs="Arial"/>
                <w:sz w:val="20"/>
                <w:szCs w:val="20"/>
                <w:lang w:val="en-US"/>
              </w:rPr>
              <w:t>Agreement and/</w:t>
            </w:r>
            <w:r w:rsidRPr="000678D0">
              <w:rPr>
                <w:rFonts w:ascii="Arial" w:hAnsi="Arial" w:cs="Arial"/>
                <w:sz w:val="20"/>
                <w:szCs w:val="20"/>
                <w:lang w:val="en-US"/>
              </w:rPr>
              <w:t xml:space="preserve">or other legal </w:t>
            </w:r>
            <w:r>
              <w:rPr>
                <w:rFonts w:ascii="Arial" w:hAnsi="Arial" w:cs="Arial"/>
                <w:sz w:val="20"/>
                <w:szCs w:val="20"/>
                <w:lang w:val="en-US"/>
              </w:rPr>
              <w:t>ways</w:t>
            </w:r>
            <w:r w:rsidRPr="000678D0">
              <w:rPr>
                <w:rFonts w:ascii="Arial" w:hAnsi="Arial" w:cs="Arial"/>
                <w:sz w:val="20"/>
                <w:szCs w:val="20"/>
                <w:lang w:val="en-US"/>
              </w:rPr>
              <w:t xml:space="preserve"> for processing by the Bank</w:t>
            </w:r>
            <w:r>
              <w:rPr>
                <w:rFonts w:ascii="Arial" w:hAnsi="Arial" w:cs="Arial"/>
                <w:sz w:val="20"/>
                <w:szCs w:val="20"/>
                <w:lang w:val="en-US"/>
              </w:rPr>
              <w:t>, by the</w:t>
            </w:r>
            <w:r w:rsidRPr="000678D0">
              <w:rPr>
                <w:rFonts w:ascii="Arial" w:hAnsi="Arial" w:cs="Arial"/>
                <w:sz w:val="20"/>
                <w:szCs w:val="20"/>
                <w:lang w:val="en-US"/>
              </w:rPr>
              <w:t xml:space="preserve"> persons </w:t>
            </w:r>
            <w:r>
              <w:rPr>
                <w:rFonts w:ascii="Arial" w:hAnsi="Arial" w:cs="Arial"/>
                <w:sz w:val="20"/>
                <w:szCs w:val="20"/>
                <w:lang w:val="en-US"/>
              </w:rPr>
              <w:t>who belong</w:t>
            </w:r>
            <w:r w:rsidRPr="000678D0">
              <w:rPr>
                <w:rFonts w:ascii="Arial" w:hAnsi="Arial" w:cs="Arial"/>
                <w:sz w:val="20"/>
                <w:szCs w:val="20"/>
                <w:lang w:val="en-US"/>
              </w:rPr>
              <w:t xml:space="preserve"> to the same bank </w:t>
            </w:r>
            <w:r w:rsidR="006C5E91">
              <w:rPr>
                <w:rFonts w:ascii="Arial" w:hAnsi="Arial" w:cs="Arial"/>
                <w:sz w:val="20"/>
                <w:szCs w:val="20"/>
                <w:lang w:val="en-US"/>
              </w:rPr>
              <w:t>group</w:t>
            </w:r>
            <w:r w:rsidR="006C5E91" w:rsidRPr="000678D0">
              <w:rPr>
                <w:rFonts w:ascii="Arial" w:hAnsi="Arial" w:cs="Arial"/>
                <w:sz w:val="20"/>
                <w:szCs w:val="20"/>
                <w:lang w:val="en-US"/>
              </w:rPr>
              <w:t xml:space="preserve"> </w:t>
            </w:r>
            <w:r>
              <w:rPr>
                <w:rFonts w:ascii="Arial" w:hAnsi="Arial" w:cs="Arial"/>
                <w:sz w:val="20"/>
                <w:szCs w:val="20"/>
                <w:lang w:val="en-US"/>
              </w:rPr>
              <w:t>with the Bank/</w:t>
            </w:r>
            <w:r w:rsidRPr="000678D0">
              <w:rPr>
                <w:rFonts w:ascii="Arial" w:hAnsi="Arial" w:cs="Arial"/>
                <w:sz w:val="20"/>
                <w:szCs w:val="20"/>
                <w:lang w:val="en-US"/>
              </w:rPr>
              <w:t>Bank</w:t>
            </w:r>
            <w:r>
              <w:rPr>
                <w:rFonts w:ascii="Arial" w:hAnsi="Arial" w:cs="Arial"/>
                <w:sz w:val="20"/>
                <w:szCs w:val="20"/>
                <w:lang w:val="en-US"/>
              </w:rPr>
              <w:t>’s affiliated persons</w:t>
            </w:r>
            <w:r w:rsidRPr="000678D0">
              <w:rPr>
                <w:rFonts w:ascii="Arial" w:hAnsi="Arial" w:cs="Arial"/>
                <w:sz w:val="20"/>
                <w:szCs w:val="20"/>
                <w:lang w:val="en-US"/>
              </w:rPr>
              <w:t xml:space="preserve">, these personal data for the purpose of </w:t>
            </w:r>
            <w:r>
              <w:rPr>
                <w:rFonts w:ascii="Arial" w:hAnsi="Arial" w:cs="Arial"/>
                <w:sz w:val="20"/>
                <w:szCs w:val="20"/>
                <w:lang w:val="en-US"/>
              </w:rPr>
              <w:t>fulfilling the Agreement</w:t>
            </w:r>
            <w:r w:rsidRPr="000678D0">
              <w:rPr>
                <w:rFonts w:ascii="Arial" w:hAnsi="Arial" w:cs="Arial"/>
                <w:sz w:val="20"/>
                <w:szCs w:val="20"/>
                <w:lang w:val="en-US"/>
              </w:rPr>
              <w:t xml:space="preserve"> and for stor</w:t>
            </w:r>
            <w:r>
              <w:rPr>
                <w:rFonts w:ascii="Arial" w:hAnsi="Arial" w:cs="Arial"/>
                <w:sz w:val="20"/>
                <w:szCs w:val="20"/>
                <w:lang w:val="en-US"/>
              </w:rPr>
              <w:t>age</w:t>
            </w:r>
            <w:r w:rsidRPr="000678D0">
              <w:rPr>
                <w:rFonts w:ascii="Arial" w:hAnsi="Arial" w:cs="Arial"/>
                <w:sz w:val="20"/>
                <w:szCs w:val="20"/>
                <w:lang w:val="en-US"/>
              </w:rPr>
              <w:t xml:space="preserve">, including electronically, and protecting confidential information (including personal data). </w:t>
            </w:r>
          </w:p>
          <w:p w:rsidR="005C10D2" w:rsidRPr="005C10D2" w:rsidRDefault="005C10D2" w:rsidP="005C10D2">
            <w:pPr>
              <w:pStyle w:val="Default"/>
              <w:spacing w:after="120"/>
              <w:jc w:val="both"/>
              <w:rPr>
                <w:rFonts w:ascii="Arial" w:hAnsi="Arial" w:cs="Arial"/>
                <w:sz w:val="20"/>
                <w:szCs w:val="20"/>
                <w:lang w:val="en-US"/>
              </w:rPr>
            </w:pPr>
          </w:p>
        </w:tc>
      </w:tr>
      <w:tr w:rsidR="005C10D2" w:rsidRPr="00395A1F" w:rsidTr="005C10D2">
        <w:tc>
          <w:tcPr>
            <w:tcW w:w="5246" w:type="dxa"/>
          </w:tcPr>
          <w:p w:rsidR="005C10D2" w:rsidRPr="006C5E91" w:rsidRDefault="005C10D2" w:rsidP="005C10D2">
            <w:pPr>
              <w:pStyle w:val="Default"/>
              <w:spacing w:after="120"/>
              <w:jc w:val="both"/>
              <w:rPr>
                <w:rFonts w:ascii="Arial" w:hAnsi="Arial" w:cs="Arial"/>
                <w:sz w:val="20"/>
                <w:szCs w:val="20"/>
              </w:rPr>
            </w:pPr>
            <w:r w:rsidRPr="00C076B2">
              <w:rPr>
                <w:rFonts w:ascii="Arial" w:hAnsi="Arial" w:cs="Arial"/>
                <w:sz w:val="20"/>
                <w:szCs w:val="20"/>
              </w:rPr>
              <w:t xml:space="preserve">Инвестор обязуется передавать Банку документы, материалы, содержащие персональные данные, только при наличии согласия субъектов персональных данных, чьи персональные данные содержатся в таких документах, материалах. Обязанность по получению согласий субъектов персональных данных возложена на Инвестора. Инвестор несет все неблагоприятные последствия, связанные с неполучением Инвестором таких согласий. </w:t>
            </w:r>
          </w:p>
        </w:tc>
        <w:tc>
          <w:tcPr>
            <w:tcW w:w="5245" w:type="dxa"/>
          </w:tcPr>
          <w:p w:rsidR="005C10D2" w:rsidRPr="002851A5" w:rsidRDefault="005C10D2" w:rsidP="005C10D2">
            <w:pPr>
              <w:pStyle w:val="Default"/>
              <w:spacing w:after="120"/>
              <w:jc w:val="both"/>
              <w:rPr>
                <w:rFonts w:ascii="Arial" w:hAnsi="Arial" w:cs="Arial"/>
                <w:sz w:val="20"/>
                <w:szCs w:val="20"/>
                <w:lang w:val="en-US"/>
              </w:rPr>
            </w:pPr>
            <w:r w:rsidRPr="002851A5">
              <w:rPr>
                <w:rFonts w:ascii="Arial" w:hAnsi="Arial" w:cs="Arial"/>
                <w:sz w:val="20"/>
                <w:szCs w:val="20"/>
                <w:lang w:val="en-US"/>
              </w:rPr>
              <w:t xml:space="preserve">The </w:t>
            </w:r>
            <w:r>
              <w:rPr>
                <w:rFonts w:ascii="Arial" w:hAnsi="Arial" w:cs="Arial"/>
                <w:sz w:val="20"/>
                <w:szCs w:val="20"/>
                <w:lang w:val="en-US"/>
              </w:rPr>
              <w:t>I</w:t>
            </w:r>
            <w:r w:rsidRPr="002851A5">
              <w:rPr>
                <w:rFonts w:ascii="Arial" w:hAnsi="Arial" w:cs="Arial"/>
                <w:sz w:val="20"/>
                <w:szCs w:val="20"/>
                <w:lang w:val="en-US"/>
              </w:rPr>
              <w:t xml:space="preserve">nvestor undertakes to transfer to the Bank documents, materials containing </w:t>
            </w:r>
            <w:r>
              <w:rPr>
                <w:rFonts w:ascii="Arial" w:hAnsi="Arial" w:cs="Arial"/>
                <w:sz w:val="20"/>
                <w:szCs w:val="20"/>
                <w:lang w:val="en-US"/>
              </w:rPr>
              <w:t xml:space="preserve">any </w:t>
            </w:r>
            <w:r w:rsidRPr="002851A5">
              <w:rPr>
                <w:rFonts w:ascii="Arial" w:hAnsi="Arial" w:cs="Arial"/>
                <w:sz w:val="20"/>
                <w:szCs w:val="20"/>
                <w:lang w:val="en-US"/>
              </w:rPr>
              <w:t xml:space="preserve">personal data, only with the consent of the subjects of personal data whose personal data are contained in such documents, materials. </w:t>
            </w:r>
            <w:r>
              <w:rPr>
                <w:rFonts w:ascii="Arial" w:hAnsi="Arial" w:cs="Arial"/>
                <w:sz w:val="20"/>
                <w:szCs w:val="20"/>
                <w:lang w:val="en-US"/>
              </w:rPr>
              <w:t>T</w:t>
            </w:r>
            <w:r w:rsidRPr="002851A5">
              <w:rPr>
                <w:rFonts w:ascii="Arial" w:hAnsi="Arial" w:cs="Arial"/>
                <w:sz w:val="20"/>
                <w:szCs w:val="20"/>
                <w:lang w:val="en-US"/>
              </w:rPr>
              <w:t xml:space="preserve">he Investor </w:t>
            </w:r>
            <w:r>
              <w:rPr>
                <w:rFonts w:ascii="Arial" w:hAnsi="Arial" w:cs="Arial"/>
                <w:sz w:val="20"/>
                <w:szCs w:val="20"/>
                <w:lang w:val="en-US"/>
              </w:rPr>
              <w:t xml:space="preserve">shall be responsible </w:t>
            </w:r>
            <w:r w:rsidRPr="002851A5">
              <w:rPr>
                <w:rFonts w:ascii="Arial" w:hAnsi="Arial" w:cs="Arial"/>
                <w:sz w:val="20"/>
                <w:szCs w:val="20"/>
                <w:lang w:val="en-US"/>
              </w:rPr>
              <w:t xml:space="preserve">for obtaining the consent of subjects of personal data. The </w:t>
            </w:r>
            <w:r>
              <w:rPr>
                <w:rFonts w:ascii="Arial" w:hAnsi="Arial" w:cs="Arial"/>
                <w:sz w:val="20"/>
                <w:szCs w:val="20"/>
                <w:lang w:val="en-US"/>
              </w:rPr>
              <w:t>I</w:t>
            </w:r>
            <w:r w:rsidRPr="002851A5">
              <w:rPr>
                <w:rFonts w:ascii="Arial" w:hAnsi="Arial" w:cs="Arial"/>
                <w:sz w:val="20"/>
                <w:szCs w:val="20"/>
                <w:lang w:val="en-US"/>
              </w:rPr>
              <w:t xml:space="preserve">nvestor </w:t>
            </w:r>
            <w:r>
              <w:rPr>
                <w:rFonts w:ascii="Arial" w:hAnsi="Arial" w:cs="Arial"/>
                <w:sz w:val="20"/>
                <w:szCs w:val="20"/>
                <w:lang w:val="en-US"/>
              </w:rPr>
              <w:t xml:space="preserve">bears </w:t>
            </w:r>
            <w:r w:rsidRPr="002851A5">
              <w:rPr>
                <w:rFonts w:ascii="Arial" w:hAnsi="Arial" w:cs="Arial"/>
                <w:sz w:val="20"/>
                <w:szCs w:val="20"/>
                <w:lang w:val="en-US"/>
              </w:rPr>
              <w:t xml:space="preserve">all </w:t>
            </w:r>
            <w:r>
              <w:rPr>
                <w:rFonts w:ascii="Arial" w:hAnsi="Arial" w:cs="Arial"/>
                <w:sz w:val="20"/>
                <w:szCs w:val="20"/>
                <w:lang w:val="en-US"/>
              </w:rPr>
              <w:t xml:space="preserve">negative </w:t>
            </w:r>
            <w:r w:rsidRPr="002851A5">
              <w:rPr>
                <w:rFonts w:ascii="Arial" w:hAnsi="Arial" w:cs="Arial"/>
                <w:sz w:val="20"/>
                <w:szCs w:val="20"/>
                <w:lang w:val="en-US"/>
              </w:rPr>
              <w:t>consequences associated with the Investor</w:t>
            </w:r>
            <w:r>
              <w:rPr>
                <w:rFonts w:ascii="Arial" w:hAnsi="Arial" w:cs="Arial"/>
                <w:sz w:val="20"/>
                <w:szCs w:val="20"/>
                <w:lang w:val="en-US"/>
              </w:rPr>
              <w:t>’s</w:t>
            </w:r>
            <w:r w:rsidRPr="002851A5">
              <w:rPr>
                <w:rFonts w:ascii="Arial" w:hAnsi="Arial" w:cs="Arial"/>
                <w:sz w:val="20"/>
                <w:szCs w:val="20"/>
                <w:lang w:val="en-US"/>
              </w:rPr>
              <w:t xml:space="preserve"> failure to receive such consent.</w:t>
            </w:r>
          </w:p>
        </w:tc>
      </w:tr>
      <w:tr w:rsidR="005C10D2" w:rsidRPr="00395A1F" w:rsidTr="005C10D2">
        <w:tc>
          <w:tcPr>
            <w:tcW w:w="5246" w:type="dxa"/>
          </w:tcPr>
          <w:p w:rsidR="005C10D2" w:rsidRPr="00C076B2" w:rsidRDefault="005C10D2" w:rsidP="00D620C7">
            <w:pPr>
              <w:pStyle w:val="Default"/>
              <w:spacing w:after="120"/>
              <w:jc w:val="both"/>
              <w:rPr>
                <w:rFonts w:ascii="Arial" w:hAnsi="Arial" w:cs="Arial"/>
                <w:sz w:val="20"/>
                <w:szCs w:val="20"/>
              </w:rPr>
            </w:pPr>
            <w:r w:rsidRPr="00C076B2">
              <w:rPr>
                <w:rFonts w:ascii="Arial" w:hAnsi="Arial" w:cs="Arial"/>
                <w:sz w:val="20"/>
                <w:szCs w:val="20"/>
              </w:rPr>
              <w:t xml:space="preserve">Требования к защите обрабатываемых персональных данных, в т.ч. необходимые правовые, организационные и технические меры по защите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иных неправомерных действий в отношении персональных данных определяются Банком самостоятельно с учетом требований ст. 19 Федерального закона от 27.07.2006 № 152-ФЗ «О персональных данных». </w:t>
            </w:r>
          </w:p>
        </w:tc>
        <w:tc>
          <w:tcPr>
            <w:tcW w:w="5245" w:type="dxa"/>
          </w:tcPr>
          <w:p w:rsidR="005C10D2" w:rsidRPr="002851A5" w:rsidRDefault="005C10D2" w:rsidP="005C10D2">
            <w:pPr>
              <w:pStyle w:val="Default"/>
              <w:spacing w:after="120"/>
              <w:jc w:val="both"/>
              <w:rPr>
                <w:rFonts w:ascii="Arial" w:hAnsi="Arial" w:cs="Arial"/>
                <w:sz w:val="20"/>
                <w:szCs w:val="20"/>
                <w:lang w:val="en-US"/>
              </w:rPr>
            </w:pPr>
            <w:r w:rsidRPr="002851A5">
              <w:rPr>
                <w:rFonts w:ascii="Arial" w:hAnsi="Arial" w:cs="Arial"/>
                <w:sz w:val="20"/>
                <w:szCs w:val="20"/>
                <w:lang w:val="en-US"/>
              </w:rPr>
              <w:t xml:space="preserve">Requirements to protect processed personal data, including </w:t>
            </w:r>
            <w:r>
              <w:rPr>
                <w:rFonts w:ascii="Arial" w:hAnsi="Arial" w:cs="Arial"/>
                <w:sz w:val="20"/>
                <w:szCs w:val="20"/>
                <w:lang w:val="en-US"/>
              </w:rPr>
              <w:t>required</w:t>
            </w:r>
            <w:r w:rsidRPr="002851A5">
              <w:rPr>
                <w:rFonts w:ascii="Arial" w:hAnsi="Arial" w:cs="Arial"/>
                <w:sz w:val="20"/>
                <w:szCs w:val="20"/>
                <w:lang w:val="en-US"/>
              </w:rPr>
              <w:t xml:space="preserve"> legal, organizational and technical measures to protect personal data from unauthorized or accidental access </w:t>
            </w:r>
            <w:r>
              <w:rPr>
                <w:rFonts w:ascii="Arial" w:hAnsi="Arial" w:cs="Arial"/>
                <w:sz w:val="20"/>
                <w:szCs w:val="20"/>
                <w:lang w:val="en-US"/>
              </w:rPr>
              <w:t>thereto</w:t>
            </w:r>
            <w:r w:rsidRPr="002851A5">
              <w:rPr>
                <w:rFonts w:ascii="Arial" w:hAnsi="Arial" w:cs="Arial"/>
                <w:sz w:val="20"/>
                <w:szCs w:val="20"/>
                <w:lang w:val="en-US"/>
              </w:rPr>
              <w:t xml:space="preserve">, destruction, modification, blocking, copying, </w:t>
            </w:r>
            <w:r>
              <w:rPr>
                <w:rFonts w:ascii="Arial" w:hAnsi="Arial" w:cs="Arial"/>
                <w:sz w:val="20"/>
                <w:szCs w:val="20"/>
                <w:lang w:val="en-US"/>
              </w:rPr>
              <w:t>submission</w:t>
            </w:r>
            <w:r w:rsidRPr="002851A5">
              <w:rPr>
                <w:rFonts w:ascii="Arial" w:hAnsi="Arial" w:cs="Arial"/>
                <w:sz w:val="20"/>
                <w:szCs w:val="20"/>
                <w:lang w:val="en-US"/>
              </w:rPr>
              <w:t xml:space="preserve">, dissemination and other unlawful actions with respect to personal data </w:t>
            </w:r>
            <w:r>
              <w:rPr>
                <w:rFonts w:ascii="Arial" w:hAnsi="Arial" w:cs="Arial"/>
                <w:sz w:val="20"/>
                <w:szCs w:val="20"/>
                <w:lang w:val="en-US"/>
              </w:rPr>
              <w:t>shall be</w:t>
            </w:r>
            <w:r w:rsidRPr="002851A5">
              <w:rPr>
                <w:rFonts w:ascii="Arial" w:hAnsi="Arial" w:cs="Arial"/>
                <w:sz w:val="20"/>
                <w:szCs w:val="20"/>
                <w:lang w:val="en-US"/>
              </w:rPr>
              <w:t xml:space="preserve"> determined by the Bank </w:t>
            </w:r>
            <w:r>
              <w:rPr>
                <w:rFonts w:ascii="Arial" w:hAnsi="Arial" w:cs="Arial"/>
                <w:sz w:val="20"/>
                <w:szCs w:val="20"/>
                <w:lang w:val="en-US"/>
              </w:rPr>
              <w:t>on its own with reliance on</w:t>
            </w:r>
            <w:r w:rsidRPr="002851A5">
              <w:rPr>
                <w:rFonts w:ascii="Arial" w:hAnsi="Arial" w:cs="Arial"/>
                <w:sz w:val="20"/>
                <w:szCs w:val="20"/>
                <w:lang w:val="en-US"/>
              </w:rPr>
              <w:t xml:space="preserve"> the requirements of Art. 19 of the Federal Law No. 152-FZ </w:t>
            </w:r>
            <w:r>
              <w:rPr>
                <w:rFonts w:ascii="Arial" w:hAnsi="Arial" w:cs="Arial"/>
                <w:sz w:val="20"/>
                <w:szCs w:val="20"/>
                <w:lang w:val="en-US"/>
              </w:rPr>
              <w:t>dated</w:t>
            </w:r>
            <w:r w:rsidRPr="002851A5">
              <w:rPr>
                <w:rFonts w:ascii="Arial" w:hAnsi="Arial" w:cs="Arial"/>
                <w:sz w:val="20"/>
                <w:szCs w:val="20"/>
                <w:lang w:val="en-US"/>
              </w:rPr>
              <w:t xml:space="preserve"> 27</w:t>
            </w:r>
            <w:r>
              <w:rPr>
                <w:rFonts w:ascii="Arial" w:hAnsi="Arial" w:cs="Arial"/>
                <w:sz w:val="20"/>
                <w:szCs w:val="20"/>
                <w:lang w:val="en-US"/>
              </w:rPr>
              <w:t>.07.</w:t>
            </w:r>
            <w:r w:rsidRPr="002851A5">
              <w:rPr>
                <w:rFonts w:ascii="Arial" w:hAnsi="Arial" w:cs="Arial"/>
                <w:sz w:val="20"/>
                <w:szCs w:val="20"/>
                <w:lang w:val="en-US"/>
              </w:rPr>
              <w:t>2006 "On Personal Data".</w:t>
            </w:r>
          </w:p>
          <w:p w:rsidR="005C10D2" w:rsidRPr="005C10D2" w:rsidRDefault="005C10D2" w:rsidP="005C10D2">
            <w:pPr>
              <w:pStyle w:val="Default"/>
              <w:spacing w:after="120"/>
              <w:jc w:val="both"/>
              <w:rPr>
                <w:rFonts w:ascii="Arial" w:hAnsi="Arial" w:cs="Arial"/>
                <w:sz w:val="20"/>
                <w:szCs w:val="20"/>
                <w:lang w:val="en-US"/>
              </w:rPr>
            </w:pPr>
          </w:p>
        </w:tc>
      </w:tr>
      <w:tr w:rsidR="00C8159C" w:rsidRPr="00395A1F" w:rsidTr="005C10D2">
        <w:tc>
          <w:tcPr>
            <w:tcW w:w="5246" w:type="dxa"/>
          </w:tcPr>
          <w:p w:rsidR="00C8159C" w:rsidRPr="00C076B2" w:rsidRDefault="00C8159C" w:rsidP="00D620C7">
            <w:pPr>
              <w:pStyle w:val="Default"/>
              <w:spacing w:after="120"/>
              <w:jc w:val="both"/>
              <w:rPr>
                <w:rFonts w:ascii="Arial" w:hAnsi="Arial" w:cs="Arial"/>
                <w:sz w:val="20"/>
                <w:szCs w:val="20"/>
              </w:rPr>
            </w:pPr>
            <w:r w:rsidRPr="00C076B2">
              <w:rPr>
                <w:rFonts w:ascii="Arial" w:hAnsi="Arial" w:cs="Arial"/>
                <w:sz w:val="20"/>
                <w:szCs w:val="20"/>
              </w:rPr>
              <w:t xml:space="preserve">Заключая настоящий Договор, Инвестор подтверждает, что персональные данные, содержащиеся в представляемых Инвестором Банку документах, полученных Банком в соответствии с Договором и/или иными законными способами, не являются тайной частной жизни, личной и/или семейной тайной. </w:t>
            </w:r>
          </w:p>
        </w:tc>
        <w:tc>
          <w:tcPr>
            <w:tcW w:w="5245" w:type="dxa"/>
          </w:tcPr>
          <w:p w:rsidR="00C8159C" w:rsidRPr="002851A5" w:rsidRDefault="00C8159C" w:rsidP="00D620C7">
            <w:pPr>
              <w:pStyle w:val="Default"/>
              <w:spacing w:after="120"/>
              <w:jc w:val="both"/>
              <w:rPr>
                <w:rFonts w:ascii="Arial" w:hAnsi="Arial" w:cs="Arial"/>
                <w:sz w:val="20"/>
                <w:szCs w:val="20"/>
                <w:lang w:val="en-US"/>
              </w:rPr>
            </w:pPr>
            <w:r w:rsidRPr="002851A5">
              <w:rPr>
                <w:rFonts w:ascii="Arial" w:hAnsi="Arial" w:cs="Arial"/>
                <w:sz w:val="20"/>
                <w:szCs w:val="20"/>
                <w:lang w:val="en-US"/>
              </w:rPr>
              <w:t xml:space="preserve">By </w:t>
            </w:r>
            <w:r>
              <w:rPr>
                <w:rFonts w:ascii="Arial" w:hAnsi="Arial" w:cs="Arial"/>
                <w:sz w:val="20"/>
                <w:szCs w:val="20"/>
                <w:lang w:val="en-US"/>
              </w:rPr>
              <w:t>entry into</w:t>
            </w:r>
            <w:r w:rsidRPr="002851A5">
              <w:rPr>
                <w:rFonts w:ascii="Arial" w:hAnsi="Arial" w:cs="Arial"/>
                <w:sz w:val="20"/>
                <w:szCs w:val="20"/>
                <w:lang w:val="en-US"/>
              </w:rPr>
              <w:t xml:space="preserve"> this Agreement, the Investor confirms that the personal data contained in the documents submitted by the Investor to the Bank</w:t>
            </w:r>
            <w:r>
              <w:rPr>
                <w:rFonts w:ascii="Arial" w:hAnsi="Arial" w:cs="Arial"/>
                <w:sz w:val="20"/>
                <w:szCs w:val="20"/>
                <w:lang w:val="en-US"/>
              </w:rPr>
              <w:t>,</w:t>
            </w:r>
            <w:r w:rsidRPr="002851A5">
              <w:rPr>
                <w:rFonts w:ascii="Arial" w:hAnsi="Arial" w:cs="Arial"/>
                <w:sz w:val="20"/>
                <w:szCs w:val="20"/>
                <w:lang w:val="en-US"/>
              </w:rPr>
              <w:t xml:space="preserve"> received by the Bank in accordance with the </w:t>
            </w:r>
            <w:r>
              <w:rPr>
                <w:rFonts w:ascii="Arial" w:hAnsi="Arial" w:cs="Arial"/>
                <w:sz w:val="20"/>
                <w:szCs w:val="20"/>
                <w:lang w:val="en-US"/>
              </w:rPr>
              <w:t>Agreement and/</w:t>
            </w:r>
            <w:r w:rsidRPr="002851A5">
              <w:rPr>
                <w:rFonts w:ascii="Arial" w:hAnsi="Arial" w:cs="Arial"/>
                <w:sz w:val="20"/>
                <w:szCs w:val="20"/>
                <w:lang w:val="en-US"/>
              </w:rPr>
              <w:t xml:space="preserve">or other legal </w:t>
            </w:r>
            <w:r>
              <w:rPr>
                <w:rFonts w:ascii="Arial" w:hAnsi="Arial" w:cs="Arial"/>
                <w:sz w:val="20"/>
                <w:szCs w:val="20"/>
                <w:lang w:val="en-US"/>
              </w:rPr>
              <w:t>ways</w:t>
            </w:r>
            <w:r w:rsidRPr="002851A5">
              <w:rPr>
                <w:rFonts w:ascii="Arial" w:hAnsi="Arial" w:cs="Arial"/>
                <w:sz w:val="20"/>
                <w:szCs w:val="20"/>
                <w:lang w:val="en-US"/>
              </w:rPr>
              <w:t xml:space="preserve"> </w:t>
            </w:r>
            <w:r>
              <w:rPr>
                <w:rFonts w:ascii="Arial" w:hAnsi="Arial" w:cs="Arial"/>
                <w:sz w:val="20"/>
                <w:szCs w:val="20"/>
                <w:lang w:val="en-US"/>
              </w:rPr>
              <w:t>do</w:t>
            </w:r>
            <w:r w:rsidRPr="002851A5">
              <w:rPr>
                <w:rFonts w:ascii="Arial" w:hAnsi="Arial" w:cs="Arial"/>
                <w:sz w:val="20"/>
                <w:szCs w:val="20"/>
                <w:lang w:val="en-US"/>
              </w:rPr>
              <w:t xml:space="preserve"> not </w:t>
            </w:r>
            <w:r>
              <w:rPr>
                <w:rFonts w:ascii="Arial" w:hAnsi="Arial" w:cs="Arial"/>
                <w:sz w:val="20"/>
                <w:szCs w:val="20"/>
                <w:lang w:val="en-US"/>
              </w:rPr>
              <w:t xml:space="preserve">constitute </w:t>
            </w:r>
            <w:r w:rsidRPr="002851A5">
              <w:rPr>
                <w:rFonts w:ascii="Arial" w:hAnsi="Arial" w:cs="Arial"/>
                <w:sz w:val="20"/>
                <w:szCs w:val="20"/>
                <w:lang w:val="en-US"/>
              </w:rPr>
              <w:t>a secre</w:t>
            </w:r>
            <w:r>
              <w:rPr>
                <w:rFonts w:ascii="Arial" w:hAnsi="Arial" w:cs="Arial"/>
                <w:sz w:val="20"/>
                <w:szCs w:val="20"/>
                <w:lang w:val="en-US"/>
              </w:rPr>
              <w:t>t of private life, personal and/</w:t>
            </w:r>
            <w:r w:rsidRPr="002851A5">
              <w:rPr>
                <w:rFonts w:ascii="Arial" w:hAnsi="Arial" w:cs="Arial"/>
                <w:sz w:val="20"/>
                <w:szCs w:val="20"/>
                <w:lang w:val="en-US"/>
              </w:rPr>
              <w:t>or family secret.</w:t>
            </w:r>
          </w:p>
        </w:tc>
      </w:tr>
      <w:tr w:rsidR="00C8159C" w:rsidRPr="00395A1F" w:rsidTr="00C8159C">
        <w:trPr>
          <w:trHeight w:val="294"/>
        </w:trPr>
        <w:tc>
          <w:tcPr>
            <w:tcW w:w="5246" w:type="dxa"/>
          </w:tcPr>
          <w:p w:rsidR="00EA4D15" w:rsidRDefault="00EA4D15" w:rsidP="00EA4D15">
            <w:pPr>
              <w:pStyle w:val="21"/>
              <w:spacing w:line="240" w:lineRule="auto"/>
              <w:jc w:val="both"/>
              <w:rPr>
                <w:rFonts w:eastAsiaTheme="minorHAnsi"/>
                <w:i/>
                <w:color w:val="000000"/>
                <w:lang w:eastAsia="en-US"/>
              </w:rPr>
            </w:pPr>
            <w:r w:rsidRPr="005D5F38">
              <w:rPr>
                <w:b/>
              </w:rPr>
              <w:t>Заверения об обстоятельствах</w:t>
            </w:r>
            <w:r>
              <w:t xml:space="preserve"> </w:t>
            </w:r>
            <w:r w:rsidRPr="005D5F38">
              <w:rPr>
                <w:i/>
              </w:rPr>
              <w:t>(</w:t>
            </w:r>
            <w:r w:rsidRPr="005D5F38">
              <w:rPr>
                <w:rFonts w:eastAsiaTheme="minorHAnsi"/>
                <w:i/>
                <w:color w:val="000000"/>
                <w:lang w:eastAsia="en-US"/>
              </w:rPr>
              <w:t>включаются при заключении Договора с Инвестором - иностранной компанией, претендующей на применение льготных положений международных соглашений об избежании двойного налогообложения)</w:t>
            </w:r>
          </w:p>
          <w:p w:rsidR="00D73F41" w:rsidRPr="005D5F38" w:rsidRDefault="00D73F41" w:rsidP="00EA4D15">
            <w:pPr>
              <w:pStyle w:val="21"/>
              <w:spacing w:line="240" w:lineRule="auto"/>
              <w:jc w:val="both"/>
              <w:rPr>
                <w:rFonts w:eastAsiaTheme="minorHAnsi"/>
                <w:i/>
                <w:color w:val="000000"/>
                <w:lang w:eastAsia="en-US"/>
              </w:rPr>
            </w:pPr>
          </w:p>
          <w:p w:rsidR="00EA4D15" w:rsidRPr="005D5F38" w:rsidRDefault="00EA4D15" w:rsidP="00EA4D15">
            <w:pPr>
              <w:pStyle w:val="21"/>
              <w:spacing w:line="240" w:lineRule="auto"/>
              <w:jc w:val="both"/>
              <w:rPr>
                <w:rFonts w:eastAsiaTheme="minorHAnsi"/>
                <w:color w:val="000000"/>
                <w:lang w:eastAsia="en-US"/>
              </w:rPr>
            </w:pPr>
            <w:r>
              <w:rPr>
                <w:rFonts w:eastAsiaTheme="minorHAnsi"/>
                <w:color w:val="000000"/>
                <w:lang w:eastAsia="en-US"/>
              </w:rPr>
              <w:t>1.</w:t>
            </w:r>
            <w:r w:rsidRPr="005D5F38">
              <w:rPr>
                <w:rFonts w:eastAsiaTheme="minorHAnsi"/>
                <w:color w:val="000000"/>
                <w:lang w:eastAsia="en-US"/>
              </w:rPr>
              <w:t xml:space="preserve">  Инвестор предоставляет Банку следующие заверения об обстоятельствах, которые действительны на момент заключения Договора, а также в течение срока его действия: </w:t>
            </w:r>
          </w:p>
          <w:p w:rsidR="00EA4D15" w:rsidRPr="005D5F38" w:rsidRDefault="00EA4D15" w:rsidP="00EA4D15">
            <w:pPr>
              <w:pStyle w:val="21"/>
              <w:spacing w:line="240" w:lineRule="auto"/>
              <w:jc w:val="both"/>
              <w:rPr>
                <w:rFonts w:eastAsiaTheme="minorHAnsi"/>
                <w:color w:val="000000"/>
                <w:lang w:eastAsia="en-US"/>
              </w:rPr>
            </w:pPr>
            <w:r w:rsidRPr="005D5F38">
              <w:rPr>
                <w:rFonts w:eastAsiaTheme="minorHAnsi"/>
                <w:color w:val="000000"/>
                <w:lang w:eastAsia="en-US"/>
              </w:rPr>
              <w:t>а) Инвестор признает себя лицом, имеющим фактическое право на получение дохода, а также имеет право самостоятельно пользоваться и (или) распоряжаться этим доходом, полученным на основании Договора;</w:t>
            </w:r>
          </w:p>
          <w:p w:rsidR="00EA4D15" w:rsidRPr="005D5F38" w:rsidRDefault="00EA4D15" w:rsidP="00EA4D15">
            <w:pPr>
              <w:pStyle w:val="21"/>
              <w:spacing w:line="240" w:lineRule="auto"/>
              <w:jc w:val="both"/>
              <w:rPr>
                <w:rFonts w:eastAsiaTheme="minorHAnsi"/>
                <w:color w:val="000000"/>
                <w:lang w:eastAsia="en-US"/>
              </w:rPr>
            </w:pPr>
            <w:r w:rsidRPr="005D5F38">
              <w:rPr>
                <w:rFonts w:eastAsiaTheme="minorHAnsi"/>
                <w:color w:val="000000"/>
                <w:lang w:eastAsia="en-US"/>
              </w:rPr>
              <w:t>б) Инвестор является выгодоприобретателем дохода, получает выгоду от выплачиваемого дохода и определяет его дальнейшую экономическую судьбу;</w:t>
            </w:r>
          </w:p>
          <w:p w:rsidR="00EA4D15" w:rsidRPr="005D5F38" w:rsidRDefault="00EA4D15" w:rsidP="00EA4D15">
            <w:pPr>
              <w:pStyle w:val="21"/>
              <w:spacing w:line="240" w:lineRule="auto"/>
              <w:jc w:val="both"/>
              <w:rPr>
                <w:rFonts w:eastAsiaTheme="minorHAnsi"/>
                <w:color w:val="000000"/>
                <w:lang w:eastAsia="en-US"/>
              </w:rPr>
            </w:pPr>
            <w:r w:rsidRPr="005D5F38">
              <w:rPr>
                <w:rFonts w:eastAsiaTheme="minorHAnsi"/>
                <w:color w:val="000000"/>
                <w:lang w:eastAsia="en-US"/>
              </w:rPr>
              <w:t>в) Инвестор осуществляет самостоятельно все функции, имеющиеся полномочия и принимает на себя риски лица, претендующего на применение положений международного договора об избежании двойного налогообложения (далее – «Международный Договор»), в отношении выплачиваемого дохода;</w:t>
            </w:r>
          </w:p>
          <w:p w:rsidR="00EA4D15" w:rsidRPr="005D5F38" w:rsidRDefault="00EA4D15" w:rsidP="00EA4D15">
            <w:pPr>
              <w:pStyle w:val="21"/>
              <w:spacing w:line="240" w:lineRule="auto"/>
              <w:jc w:val="both"/>
              <w:rPr>
                <w:rFonts w:eastAsiaTheme="minorHAnsi"/>
                <w:color w:val="000000"/>
                <w:lang w:eastAsia="en-US"/>
              </w:rPr>
            </w:pPr>
            <w:r w:rsidRPr="005D5F38">
              <w:rPr>
                <w:rFonts w:eastAsiaTheme="minorHAnsi"/>
                <w:color w:val="000000"/>
                <w:lang w:eastAsia="en-US"/>
              </w:rPr>
              <w:t>г) доход, полученный Инвестором на основании Договора, не связан с деятельностью постоянного представительства в Российской Федерации в значении, определенном в Международном Договоре;</w:t>
            </w:r>
          </w:p>
          <w:p w:rsidR="00EA4D15" w:rsidRPr="005D5F38" w:rsidRDefault="00EA4D15" w:rsidP="00EA4D15">
            <w:pPr>
              <w:pStyle w:val="21"/>
              <w:spacing w:line="240" w:lineRule="auto"/>
              <w:jc w:val="both"/>
              <w:rPr>
                <w:rFonts w:eastAsiaTheme="minorHAnsi"/>
                <w:color w:val="000000"/>
                <w:lang w:eastAsia="en-US"/>
              </w:rPr>
            </w:pPr>
            <w:r w:rsidRPr="005D5F38">
              <w:rPr>
                <w:rFonts w:eastAsiaTheme="minorHAnsi"/>
                <w:color w:val="000000"/>
                <w:lang w:eastAsia="en-US"/>
              </w:rPr>
              <w:t>д) Инвестор обязуется направить в Банк уведомление в течение 10 (десяти) рабочих дней в письменной форме в случае, если, начиная с какого-либо момента в будущем, доход, получаемый от Банка по Договору, будет являться доходом, относящимся к постоянному представительству Инвестора на территории Российской Федерации;</w:t>
            </w:r>
          </w:p>
          <w:p w:rsidR="00EA4D15" w:rsidRPr="005D5F38" w:rsidRDefault="00EA4D15" w:rsidP="00EA4D15">
            <w:pPr>
              <w:pStyle w:val="21"/>
              <w:spacing w:line="240" w:lineRule="auto"/>
              <w:jc w:val="both"/>
              <w:rPr>
                <w:rFonts w:eastAsiaTheme="minorHAnsi"/>
                <w:color w:val="000000"/>
                <w:lang w:eastAsia="en-US"/>
              </w:rPr>
            </w:pPr>
            <w:r w:rsidRPr="005D5F38">
              <w:rPr>
                <w:rFonts w:eastAsiaTheme="minorHAnsi"/>
                <w:color w:val="000000"/>
                <w:lang w:eastAsia="en-US"/>
              </w:rPr>
              <w:t>е) в отношении Инвестора не применяются положения об ограничении льгот, закрепленные в Международном Договоре (если такие положения об ограничении льгот предусмотрены Международным Договором). Инвестор соответствует условиям для применения льгот, определенных в Международном Договоре;</w:t>
            </w:r>
          </w:p>
          <w:p w:rsidR="00EA4D15" w:rsidRPr="005D5F38" w:rsidRDefault="00EA4D15" w:rsidP="00EA4D15">
            <w:pPr>
              <w:pStyle w:val="21"/>
              <w:spacing w:line="240" w:lineRule="auto"/>
              <w:jc w:val="both"/>
              <w:rPr>
                <w:rFonts w:eastAsiaTheme="minorHAnsi"/>
                <w:color w:val="000000"/>
                <w:lang w:eastAsia="en-US"/>
              </w:rPr>
            </w:pPr>
            <w:r w:rsidRPr="005D5F38">
              <w:rPr>
                <w:rFonts w:eastAsiaTheme="minorHAnsi"/>
                <w:color w:val="000000"/>
                <w:lang w:eastAsia="en-US"/>
              </w:rPr>
              <w:t>ж) Инвестор осуществляет хозяйственную деятельность, включая принятие решений о существенных условиях заключаемых сделок на территории государства, по праву которого учрежден Инвестор. Инвестор подтверждает, что подлежит налогообложению в государстве, по праву которого учрежден Инвестор, в отношении дохода, полученного по Договору;</w:t>
            </w:r>
          </w:p>
          <w:p w:rsidR="00EA4D15" w:rsidRPr="005D5F38" w:rsidRDefault="00EA4D15" w:rsidP="00EA4D15">
            <w:pPr>
              <w:pStyle w:val="21"/>
              <w:spacing w:line="240" w:lineRule="auto"/>
              <w:jc w:val="both"/>
              <w:rPr>
                <w:rFonts w:eastAsiaTheme="minorHAnsi"/>
                <w:color w:val="000000"/>
                <w:lang w:eastAsia="en-US"/>
              </w:rPr>
            </w:pPr>
            <w:r w:rsidRPr="005D5F38">
              <w:rPr>
                <w:rFonts w:eastAsiaTheme="minorHAnsi"/>
                <w:color w:val="000000"/>
                <w:lang w:eastAsia="en-US"/>
              </w:rPr>
              <w:t>з) полномочия исполнительного органа Инвестора по принятию решений о хозяйственной деятельности не переданы третьим лицам;</w:t>
            </w:r>
          </w:p>
          <w:p w:rsidR="00EA4D15" w:rsidRPr="005D5F38" w:rsidRDefault="00EA4D15" w:rsidP="00EA4D15">
            <w:pPr>
              <w:pStyle w:val="21"/>
              <w:spacing w:line="240" w:lineRule="auto"/>
              <w:jc w:val="both"/>
              <w:rPr>
                <w:rFonts w:eastAsiaTheme="minorHAnsi"/>
                <w:color w:val="000000"/>
                <w:lang w:eastAsia="en-US"/>
              </w:rPr>
            </w:pPr>
            <w:r w:rsidRPr="005D5F38">
              <w:rPr>
                <w:rFonts w:eastAsiaTheme="minorHAnsi"/>
                <w:color w:val="000000"/>
                <w:lang w:eastAsia="en-US"/>
              </w:rPr>
              <w:t>и) исполнительный орган Инвестора имеет полномочия по принятию решений о порядке распоряжения доходом, полученным от Банка по Договору;</w:t>
            </w:r>
          </w:p>
          <w:p w:rsidR="00EA4D15" w:rsidRPr="005D5F38" w:rsidRDefault="00EA4D15" w:rsidP="00EA4D15">
            <w:pPr>
              <w:pStyle w:val="21"/>
              <w:spacing w:line="240" w:lineRule="auto"/>
              <w:jc w:val="both"/>
              <w:rPr>
                <w:rFonts w:eastAsiaTheme="minorHAnsi"/>
                <w:color w:val="000000"/>
                <w:lang w:eastAsia="en-US"/>
              </w:rPr>
            </w:pPr>
            <w:r w:rsidRPr="005D5F38">
              <w:rPr>
                <w:rFonts w:eastAsiaTheme="minorHAnsi"/>
                <w:color w:val="000000"/>
                <w:lang w:eastAsia="en-US"/>
              </w:rPr>
              <w:t>к) Инвестор располагает достаточным количеством квалифицированных работников для осуществления своей предпринимательской деятельности, которые являются налоговыми резидентами государства, по праву которого учрежден Инвестор;</w:t>
            </w:r>
          </w:p>
          <w:p w:rsidR="00EA4D15" w:rsidRPr="005D5F38" w:rsidRDefault="00EA4D15" w:rsidP="00EA4D15">
            <w:pPr>
              <w:pStyle w:val="21"/>
              <w:spacing w:line="240" w:lineRule="auto"/>
              <w:jc w:val="both"/>
              <w:rPr>
                <w:rFonts w:eastAsiaTheme="minorHAnsi"/>
                <w:color w:val="000000"/>
                <w:lang w:eastAsia="en-US"/>
              </w:rPr>
            </w:pPr>
            <w:r w:rsidRPr="005D5F38">
              <w:rPr>
                <w:rFonts w:eastAsiaTheme="minorHAnsi"/>
                <w:color w:val="000000"/>
                <w:lang w:eastAsia="en-US"/>
              </w:rPr>
              <w:t>л) доход, полученный от Банка по Договору, не относится к брокерской, агентской или иной посреднической деятельности Инвестора;</w:t>
            </w:r>
          </w:p>
          <w:p w:rsidR="00EA4D15" w:rsidRPr="005D5F38" w:rsidRDefault="00EA4D15" w:rsidP="00EA4D15">
            <w:pPr>
              <w:pStyle w:val="21"/>
              <w:spacing w:line="240" w:lineRule="auto"/>
              <w:jc w:val="both"/>
              <w:rPr>
                <w:rFonts w:eastAsiaTheme="minorHAnsi"/>
                <w:color w:val="000000"/>
                <w:lang w:eastAsia="en-US"/>
              </w:rPr>
            </w:pPr>
            <w:r w:rsidRPr="005D5F38">
              <w:rPr>
                <w:rFonts w:eastAsiaTheme="minorHAnsi"/>
                <w:color w:val="000000"/>
                <w:lang w:eastAsia="en-US"/>
              </w:rPr>
              <w:t>м) активы, права собственности на которые позволяют Инвестору получать доход от Банка по Договору, отражаются на балансе Инвестора на дату возникновения такого дохода;</w:t>
            </w:r>
          </w:p>
          <w:p w:rsidR="00EA4D15" w:rsidRPr="005D5F38" w:rsidRDefault="00EA4D15" w:rsidP="00EA4D15">
            <w:pPr>
              <w:pStyle w:val="21"/>
              <w:spacing w:line="240" w:lineRule="auto"/>
              <w:jc w:val="both"/>
              <w:rPr>
                <w:rFonts w:eastAsiaTheme="minorHAnsi"/>
                <w:color w:val="000000"/>
                <w:lang w:eastAsia="en-US"/>
              </w:rPr>
            </w:pPr>
            <w:r w:rsidRPr="005D5F38">
              <w:rPr>
                <w:rFonts w:eastAsiaTheme="minorHAnsi"/>
                <w:color w:val="000000"/>
                <w:lang w:eastAsia="en-US"/>
              </w:rPr>
              <w:t>н) у Инвестора отсутствуют обязательства по перечислению дохода, полученного от Банка по Договору, третьим лицам;</w:t>
            </w:r>
          </w:p>
          <w:p w:rsidR="00EA4D15" w:rsidRPr="005D5F38" w:rsidRDefault="00EA4D15" w:rsidP="00EA4D15">
            <w:pPr>
              <w:pStyle w:val="21"/>
              <w:spacing w:line="240" w:lineRule="auto"/>
              <w:jc w:val="both"/>
              <w:rPr>
                <w:rFonts w:eastAsiaTheme="minorHAnsi"/>
                <w:color w:val="000000"/>
                <w:lang w:eastAsia="en-US"/>
              </w:rPr>
            </w:pPr>
            <w:r w:rsidRPr="005D5F38">
              <w:rPr>
                <w:rFonts w:eastAsiaTheme="minorHAnsi"/>
                <w:color w:val="000000"/>
                <w:lang w:eastAsia="en-US"/>
              </w:rPr>
              <w:t>о) Инвестор располагает документами, являющимися достаточными для подтверждения данных заверений. В случае получения Банком запроса от государственных органов на предоставление таких документов</w:t>
            </w:r>
            <w:r>
              <w:t>/информации</w:t>
            </w:r>
            <w:r w:rsidRPr="005D5F38">
              <w:rPr>
                <w:rFonts w:eastAsiaTheme="minorHAnsi"/>
                <w:color w:val="000000"/>
                <w:lang w:eastAsia="en-US"/>
              </w:rPr>
              <w:t>, Инвестор предоставит такие документы</w:t>
            </w:r>
            <w:r>
              <w:t>/информацию в объеме, указанном в соответствующем запросе,</w:t>
            </w:r>
            <w:r w:rsidRPr="005D5F38">
              <w:rPr>
                <w:rFonts w:eastAsiaTheme="minorHAnsi"/>
                <w:color w:val="000000"/>
                <w:lang w:eastAsia="en-US"/>
              </w:rPr>
              <w:t xml:space="preserve"> в течение 3 (трех) рабочих дней, а также окажет иное необходимое содействие Банку по предоставлению запрошенной информации государственным органам.</w:t>
            </w:r>
          </w:p>
          <w:p w:rsidR="00EA4D15" w:rsidRPr="005D5F38" w:rsidRDefault="00EA4D15" w:rsidP="00EA4D15">
            <w:pPr>
              <w:pStyle w:val="21"/>
              <w:spacing w:line="240" w:lineRule="auto"/>
              <w:jc w:val="both"/>
              <w:rPr>
                <w:rFonts w:eastAsiaTheme="minorHAnsi"/>
                <w:color w:val="000000"/>
                <w:lang w:eastAsia="en-US"/>
              </w:rPr>
            </w:pPr>
            <w:r w:rsidRPr="005D5F38">
              <w:rPr>
                <w:rFonts w:eastAsiaTheme="minorHAnsi"/>
                <w:color w:val="000000"/>
                <w:lang w:eastAsia="en-US"/>
              </w:rPr>
              <w:t xml:space="preserve">В случае если некоторые либо все заверения, изложенные в настоящем пункте, перестали соответствовать действительности или перестали быть применимы к Инвестору, то Инвестор обязуется в письменной форме уведомить об этом Банк в течение 10 (десяти) рабочих дней с даты наступления </w:t>
            </w:r>
            <w:r>
              <w:t>соответствующего факта</w:t>
            </w:r>
            <w:r w:rsidRPr="005D5F38">
              <w:rPr>
                <w:rFonts w:eastAsiaTheme="minorHAnsi"/>
                <w:color w:val="000000"/>
                <w:lang w:eastAsia="en-US"/>
              </w:rPr>
              <w:t>.</w:t>
            </w:r>
          </w:p>
          <w:p w:rsidR="00EA4D15" w:rsidRPr="005D5F38" w:rsidRDefault="00EA4D15" w:rsidP="00EA4D15">
            <w:pPr>
              <w:pStyle w:val="21"/>
              <w:spacing w:line="240" w:lineRule="auto"/>
              <w:jc w:val="both"/>
              <w:rPr>
                <w:rFonts w:eastAsiaTheme="minorHAnsi"/>
                <w:color w:val="000000"/>
                <w:lang w:eastAsia="en-US"/>
              </w:rPr>
            </w:pPr>
            <w:r>
              <w:rPr>
                <w:rFonts w:eastAsiaTheme="minorHAnsi"/>
                <w:color w:val="000000"/>
                <w:lang w:eastAsia="en-US"/>
              </w:rPr>
              <w:t>2</w:t>
            </w:r>
            <w:r w:rsidRPr="005D5F38">
              <w:rPr>
                <w:rFonts w:eastAsiaTheme="minorHAnsi"/>
                <w:color w:val="000000"/>
                <w:lang w:eastAsia="en-US"/>
              </w:rPr>
              <w:t xml:space="preserve">. В случае если Банк при выплате дохода Инвестору в каком-либо прошлом периоде применял положения Международного Договора, предусматривающие освобождение от налога или удержание налога по пониженным ставкам, а Инвестор не предоставил некоторые или все документы, перечисленные в п. 8.2.10.2. Регламента, за данный прошлый период, то Банк из доходов, выплачиваемых Инвестору в текущем периоде, удерживает налог за данный прошлый и текущий периоды </w:t>
            </w:r>
          </w:p>
          <w:p w:rsidR="00EA4D15" w:rsidRPr="005D5F38" w:rsidRDefault="00EA4D15" w:rsidP="00EA4D15">
            <w:pPr>
              <w:pStyle w:val="21"/>
              <w:spacing w:line="240" w:lineRule="auto"/>
              <w:jc w:val="both"/>
              <w:rPr>
                <w:rFonts w:eastAsiaTheme="minorHAnsi"/>
                <w:color w:val="000000"/>
                <w:lang w:eastAsia="en-US"/>
              </w:rPr>
            </w:pPr>
            <w:r w:rsidRPr="005D5F38">
              <w:rPr>
                <w:rFonts w:eastAsiaTheme="minorHAnsi"/>
                <w:color w:val="000000"/>
                <w:lang w:eastAsia="en-US"/>
              </w:rPr>
              <w:t xml:space="preserve">В случае невозможности удержания суммы налога из доходов, Инвестор предоставляет право и поручает Банку списать без дополнительных распоряжений Инвестора денежные средства в размере суммы налога со </w:t>
            </w:r>
            <w:r>
              <w:rPr>
                <w:rFonts w:eastAsiaTheme="minorHAnsi"/>
                <w:color w:val="000000"/>
                <w:lang w:eastAsia="en-US"/>
              </w:rPr>
              <w:t>с</w:t>
            </w:r>
            <w:r w:rsidRPr="005D5F38">
              <w:rPr>
                <w:rFonts w:eastAsiaTheme="minorHAnsi"/>
                <w:color w:val="000000"/>
                <w:lang w:eastAsia="en-US"/>
              </w:rPr>
              <w:t xml:space="preserve">чета Инвестора. </w:t>
            </w:r>
          </w:p>
          <w:p w:rsidR="00EA4D15" w:rsidRPr="005D5F38" w:rsidRDefault="00EA4D15" w:rsidP="00EA4D15">
            <w:pPr>
              <w:pStyle w:val="21"/>
              <w:spacing w:line="240" w:lineRule="auto"/>
              <w:jc w:val="both"/>
              <w:rPr>
                <w:rFonts w:eastAsiaTheme="minorHAnsi"/>
                <w:color w:val="000000"/>
                <w:lang w:eastAsia="en-US"/>
              </w:rPr>
            </w:pPr>
            <w:r w:rsidRPr="005D5F38">
              <w:rPr>
                <w:rFonts w:eastAsiaTheme="minorHAnsi"/>
                <w:color w:val="000000"/>
                <w:lang w:eastAsia="en-US"/>
              </w:rPr>
              <w:t xml:space="preserve">Поручение Инвестора, содержащееся в настоящем пункте, Стороны признают заранее данным акцептом в отношении расчетных документов Банка, выставляемых Банком к </w:t>
            </w:r>
            <w:r>
              <w:rPr>
                <w:rFonts w:eastAsiaTheme="minorHAnsi"/>
                <w:color w:val="000000"/>
                <w:lang w:eastAsia="en-US"/>
              </w:rPr>
              <w:t>с</w:t>
            </w:r>
            <w:r w:rsidRPr="005D5F38">
              <w:rPr>
                <w:rFonts w:eastAsiaTheme="minorHAnsi"/>
                <w:color w:val="000000"/>
                <w:lang w:eastAsia="en-US"/>
              </w:rPr>
              <w:t xml:space="preserve">чету Инвестора по обязательствам Инвестора перед Банком в целях списания денежных средств (суммы налога либо части такой суммы) со </w:t>
            </w:r>
            <w:r>
              <w:rPr>
                <w:rFonts w:eastAsiaTheme="minorHAnsi"/>
                <w:color w:val="000000"/>
                <w:lang w:eastAsia="en-US"/>
              </w:rPr>
              <w:t>с</w:t>
            </w:r>
            <w:r w:rsidRPr="005D5F38">
              <w:rPr>
                <w:rFonts w:eastAsiaTheme="minorHAnsi"/>
                <w:color w:val="000000"/>
                <w:lang w:eastAsia="en-US"/>
              </w:rPr>
              <w:t>чета Инвестора, на сумму, указанную непосредственно в расчетном документе, без ограничений по количеству расчетных документов Банка, по сумме и требованиям из обязательств, вытекающих из Договора, с возможностью частичного исполнения расчетных документов Банка.</w:t>
            </w:r>
          </w:p>
          <w:p w:rsidR="00EA4D15" w:rsidRPr="005D5F38" w:rsidRDefault="00EA4D15" w:rsidP="00EA4D15">
            <w:pPr>
              <w:pStyle w:val="21"/>
              <w:spacing w:line="240" w:lineRule="auto"/>
              <w:jc w:val="both"/>
              <w:rPr>
                <w:rFonts w:eastAsiaTheme="minorHAnsi"/>
                <w:color w:val="000000"/>
                <w:lang w:eastAsia="en-US"/>
              </w:rPr>
            </w:pPr>
            <w:r w:rsidRPr="005D5F38">
              <w:rPr>
                <w:rFonts w:eastAsiaTheme="minorHAnsi"/>
                <w:color w:val="000000"/>
                <w:lang w:eastAsia="en-US"/>
              </w:rPr>
              <w:t xml:space="preserve">Настоящим Инвестор соглашается с тем, что Банк также вправе списать денежные средства (суммы налога либо части такой суммы) со </w:t>
            </w:r>
            <w:r>
              <w:rPr>
                <w:rFonts w:eastAsiaTheme="minorHAnsi"/>
                <w:color w:val="000000"/>
                <w:lang w:eastAsia="en-US"/>
              </w:rPr>
              <w:t>с</w:t>
            </w:r>
            <w:r w:rsidRPr="005D5F38">
              <w:rPr>
                <w:rFonts w:eastAsiaTheme="minorHAnsi"/>
                <w:color w:val="000000"/>
                <w:lang w:eastAsia="en-US"/>
              </w:rPr>
              <w:t>чета Инвестора в порядке расчетов по инкассо.</w:t>
            </w:r>
          </w:p>
          <w:p w:rsidR="00EA4D15" w:rsidRPr="005D5F38" w:rsidRDefault="00EA4D15" w:rsidP="00EA4D15">
            <w:pPr>
              <w:pStyle w:val="21"/>
              <w:spacing w:line="240" w:lineRule="auto"/>
              <w:jc w:val="both"/>
              <w:rPr>
                <w:rFonts w:eastAsiaTheme="minorHAnsi"/>
                <w:color w:val="000000"/>
                <w:lang w:eastAsia="en-US"/>
              </w:rPr>
            </w:pPr>
            <w:r>
              <w:rPr>
                <w:rFonts w:eastAsiaTheme="minorHAnsi"/>
                <w:color w:val="000000"/>
                <w:lang w:eastAsia="en-US"/>
              </w:rPr>
              <w:t>3</w:t>
            </w:r>
            <w:r w:rsidRPr="005D5F38">
              <w:rPr>
                <w:rFonts w:eastAsiaTheme="minorHAnsi"/>
                <w:color w:val="000000"/>
                <w:lang w:eastAsia="en-US"/>
              </w:rPr>
              <w:t xml:space="preserve">. Инвестор обязуется в течение 10 (десяти) рабочих дней с даты получения требования Банка возместить убытки Банка, причиненные вследствие нарушения заверений, данных Инвестором в соответствии с п. </w:t>
            </w:r>
            <w:r>
              <w:rPr>
                <w:rFonts w:eastAsiaTheme="minorHAnsi"/>
                <w:color w:val="000000"/>
                <w:lang w:eastAsia="en-US"/>
              </w:rPr>
              <w:t xml:space="preserve">1 </w:t>
            </w:r>
            <w:r w:rsidRPr="0015372A">
              <w:t>заверений об обстоятельствах</w:t>
            </w:r>
            <w:r w:rsidRPr="005D5F38">
              <w:rPr>
                <w:rFonts w:eastAsiaTheme="minorHAnsi"/>
                <w:color w:val="000000"/>
                <w:lang w:eastAsia="en-US"/>
              </w:rPr>
              <w:t>, в том числе, но не ограничиваясь, суммы, уплаченные Банком в бюджет на основании требований налоговых органов о доначислении налога на доходы иностранных компаний, а также суммы пеней и штрафов.</w:t>
            </w:r>
          </w:p>
          <w:p w:rsidR="00EA4D15" w:rsidRPr="005D5F38" w:rsidRDefault="00EA4D15" w:rsidP="00EA4D15">
            <w:pPr>
              <w:pStyle w:val="21"/>
              <w:spacing w:line="240" w:lineRule="auto"/>
              <w:jc w:val="both"/>
              <w:rPr>
                <w:rFonts w:eastAsiaTheme="minorHAnsi"/>
                <w:color w:val="000000"/>
                <w:lang w:eastAsia="en-US"/>
              </w:rPr>
            </w:pPr>
            <w:r w:rsidRPr="005D5F38">
              <w:rPr>
                <w:rFonts w:eastAsiaTheme="minorHAnsi"/>
                <w:color w:val="000000"/>
                <w:lang w:eastAsia="en-US"/>
              </w:rPr>
              <w:t>Также Инвестор обязуется возместить Банку все расходы (включая</w:t>
            </w:r>
            <w:r>
              <w:rPr>
                <w:rFonts w:eastAsiaTheme="minorHAnsi"/>
                <w:color w:val="000000"/>
                <w:lang w:eastAsia="en-US"/>
              </w:rPr>
              <w:t>, но не ограничиваясь,</w:t>
            </w:r>
            <w:r w:rsidRPr="005D5F38">
              <w:rPr>
                <w:rFonts w:eastAsiaTheme="minorHAnsi"/>
                <w:color w:val="000000"/>
                <w:lang w:eastAsia="en-US"/>
              </w:rPr>
              <w:t xml:space="preserve"> налоги, возникающие у Банка при таком возмещении), связанные с нарушением данных заверений, в том числе расходы на оплату юридических услуг.</w:t>
            </w:r>
          </w:p>
          <w:p w:rsidR="00EA4D15" w:rsidRDefault="00EA4D15" w:rsidP="00EA4D15">
            <w:pPr>
              <w:pStyle w:val="ae"/>
              <w:ind w:firstLine="0"/>
              <w:rPr>
                <w:rFonts w:ascii="Arial" w:hAnsi="Arial" w:cs="Arial"/>
              </w:rPr>
            </w:pPr>
            <w:r w:rsidRPr="005D5F38">
              <w:rPr>
                <w:rFonts w:ascii="Arial" w:hAnsi="Arial" w:cs="Arial"/>
              </w:rPr>
              <w:t xml:space="preserve">В соответствии с положениями статьи 431.2 (Заверения об обстоятельствах) Гражданского кодекса Российской Федерации, Банк исходит из того, что достоверность указанных в пунктах </w:t>
            </w:r>
            <w:r>
              <w:rPr>
                <w:rFonts w:ascii="Arial" w:hAnsi="Arial" w:cs="Arial"/>
              </w:rPr>
              <w:t xml:space="preserve">1 </w:t>
            </w:r>
            <w:r w:rsidRPr="005D5F38">
              <w:rPr>
                <w:rFonts w:ascii="Arial" w:hAnsi="Arial" w:cs="Arial"/>
              </w:rPr>
              <w:t xml:space="preserve">– </w:t>
            </w:r>
            <w:r>
              <w:rPr>
                <w:rFonts w:ascii="Arial" w:hAnsi="Arial" w:cs="Arial"/>
              </w:rPr>
              <w:t>3</w:t>
            </w:r>
            <w:r w:rsidRPr="005D5F38">
              <w:rPr>
                <w:rFonts w:ascii="Arial" w:hAnsi="Arial" w:cs="Arial"/>
              </w:rPr>
              <w:t xml:space="preserve"> заверений об обстоятельствах на дату заключения Договора и на протяжении всего срока его действия имеет существенное значение для Банка, и Банк заключил Договора, полагаясь на них.</w:t>
            </w:r>
            <w:r>
              <w:rPr>
                <w:rFonts w:ascii="Arial" w:hAnsi="Arial" w:cs="Arial"/>
              </w:rPr>
              <w:t xml:space="preserve"> </w:t>
            </w:r>
          </w:p>
          <w:p w:rsidR="00D73F41" w:rsidRDefault="00D73F41" w:rsidP="00EA4D15">
            <w:pPr>
              <w:pStyle w:val="ae"/>
              <w:ind w:firstLine="0"/>
              <w:rPr>
                <w:rFonts w:ascii="Arial" w:hAnsi="Arial" w:cs="Arial"/>
              </w:rPr>
            </w:pPr>
          </w:p>
          <w:p w:rsidR="00C8159C" w:rsidRPr="00C8159C" w:rsidRDefault="00C8159C" w:rsidP="00EA4D15">
            <w:pPr>
              <w:pStyle w:val="ae"/>
              <w:ind w:firstLine="0"/>
              <w:rPr>
                <w:rFonts w:ascii="Arial" w:hAnsi="Arial" w:cs="Arial"/>
              </w:rPr>
            </w:pPr>
            <w:r w:rsidRPr="00C8159C">
              <w:rPr>
                <w:rFonts w:ascii="Arial" w:hAnsi="Arial" w:cs="Arial"/>
              </w:rPr>
              <w:t>В случае какого-либо расхождения между русским и английским текстами в данном Заявлении или в случае различия в их толковании, русский текст имеет преимущественную силу.</w:t>
            </w:r>
          </w:p>
        </w:tc>
        <w:tc>
          <w:tcPr>
            <w:tcW w:w="5245" w:type="dxa"/>
          </w:tcPr>
          <w:p w:rsidR="00D73F41" w:rsidRPr="00D73F41" w:rsidRDefault="00D73F41" w:rsidP="00D73F41">
            <w:pPr>
              <w:pStyle w:val="ae"/>
              <w:ind w:left="34" w:firstLine="0"/>
              <w:rPr>
                <w:rFonts w:ascii="Arial" w:hAnsi="Arial" w:cs="Arial"/>
                <w:lang w:val="en-US"/>
              </w:rPr>
            </w:pPr>
            <w:r w:rsidRPr="00D73F41">
              <w:rPr>
                <w:rFonts w:ascii="Arial" w:hAnsi="Arial" w:cs="Arial"/>
                <w:b/>
                <w:lang w:val="en-US"/>
              </w:rPr>
              <w:t>Representations of circumstances</w:t>
            </w:r>
            <w:r>
              <w:rPr>
                <w:rFonts w:ascii="Arial" w:hAnsi="Arial" w:cs="Arial"/>
                <w:lang w:val="en-US"/>
              </w:rPr>
              <w:t xml:space="preserve"> </w:t>
            </w:r>
            <w:r w:rsidRPr="00D73F41">
              <w:rPr>
                <w:rFonts w:ascii="Arial" w:hAnsi="Arial" w:cs="Arial"/>
                <w:i/>
                <w:lang w:val="en-US"/>
              </w:rPr>
              <w:t>(Clauses 8.8 - 8.10 shall be included in case of entering into the Agreement with the Investor - a foreign company claiming to apply the preferential provisions of international agreements on the avoidance of double taxation)</w:t>
            </w:r>
          </w:p>
          <w:p w:rsidR="00D73F41" w:rsidRPr="00D73F41" w:rsidRDefault="00D73F41" w:rsidP="00ED47AF">
            <w:pPr>
              <w:pStyle w:val="ae"/>
              <w:ind w:left="34" w:firstLine="0"/>
              <w:rPr>
                <w:rFonts w:ascii="Arial" w:hAnsi="Arial" w:cs="Arial"/>
                <w:lang w:val="en-US"/>
              </w:rPr>
            </w:pPr>
            <w:r>
              <w:rPr>
                <w:rFonts w:ascii="Arial" w:hAnsi="Arial" w:cs="Arial"/>
                <w:lang w:val="en-US"/>
              </w:rPr>
              <w:t xml:space="preserve">1. </w:t>
            </w:r>
            <w:r w:rsidRPr="00D73F41">
              <w:rPr>
                <w:rFonts w:ascii="Arial" w:hAnsi="Arial" w:cs="Arial"/>
                <w:lang w:val="en-US"/>
              </w:rPr>
              <w:t>The investor provides the Bank with the following representations about the circumstances that are valid at the time of the conclusion of the Agreement, as well as during its term:</w:t>
            </w:r>
          </w:p>
          <w:p w:rsidR="00D73F41" w:rsidRPr="00D73F41" w:rsidRDefault="00D73F41" w:rsidP="00ED47AF">
            <w:pPr>
              <w:pStyle w:val="ae"/>
              <w:ind w:left="34" w:firstLine="0"/>
              <w:rPr>
                <w:rFonts w:ascii="Arial" w:hAnsi="Arial" w:cs="Arial"/>
                <w:lang w:val="en-US"/>
              </w:rPr>
            </w:pPr>
            <w:r w:rsidRPr="00D73F41">
              <w:rPr>
                <w:rFonts w:ascii="Arial" w:hAnsi="Arial" w:cs="Arial"/>
                <w:lang w:val="en-US"/>
              </w:rPr>
              <w:t>a) The investor shall recognize himself/herself/itself as a person or legal entity (if applicable) who has the actual right to receive income, and also has the right to independently use and (or) dispose of this income received on the basis of the Agreement;</w:t>
            </w:r>
          </w:p>
          <w:p w:rsidR="00D73F41" w:rsidRDefault="00D73F41" w:rsidP="00ED47AF">
            <w:pPr>
              <w:pStyle w:val="ae"/>
              <w:ind w:left="34" w:firstLine="0"/>
              <w:rPr>
                <w:rFonts w:ascii="Arial" w:hAnsi="Arial" w:cs="Arial"/>
                <w:lang w:val="en-US"/>
              </w:rPr>
            </w:pPr>
            <w:r w:rsidRPr="00D73F41">
              <w:rPr>
                <w:rFonts w:ascii="Arial" w:hAnsi="Arial" w:cs="Arial"/>
                <w:lang w:val="en-US"/>
              </w:rPr>
              <w:t>b) The investor is the beneficiary of income, benefits from the income paid and determines its future economic fate;</w:t>
            </w:r>
          </w:p>
          <w:p w:rsidR="00D73F41" w:rsidRPr="00D73F41" w:rsidRDefault="00D73F41" w:rsidP="00ED47AF">
            <w:pPr>
              <w:pStyle w:val="ae"/>
              <w:ind w:left="34" w:firstLine="0"/>
              <w:rPr>
                <w:rFonts w:ascii="Arial" w:hAnsi="Arial" w:cs="Arial"/>
                <w:lang w:val="en-US"/>
              </w:rPr>
            </w:pPr>
          </w:p>
          <w:p w:rsidR="00D73F41" w:rsidRDefault="00D73F41" w:rsidP="00ED47AF">
            <w:pPr>
              <w:pStyle w:val="ae"/>
              <w:ind w:left="34" w:firstLine="0"/>
              <w:rPr>
                <w:rFonts w:ascii="Arial" w:hAnsi="Arial" w:cs="Arial"/>
                <w:lang w:val="en-US"/>
              </w:rPr>
            </w:pPr>
            <w:r w:rsidRPr="00D73F41">
              <w:rPr>
                <w:rFonts w:ascii="Arial" w:hAnsi="Arial" w:cs="Arial"/>
                <w:lang w:val="en-US"/>
              </w:rPr>
              <w:t>c) The investor performs independently all the functions, powers and assumes the risks of the person applying for the application of the provisions of the international treaty on the avoidance of double taxation (hereinafter referred to as the “International Treaty”) in relation to the income paid;</w:t>
            </w:r>
          </w:p>
          <w:p w:rsidR="00ED47AF" w:rsidRPr="00D73F41" w:rsidRDefault="00ED47AF" w:rsidP="00ED47AF">
            <w:pPr>
              <w:pStyle w:val="ae"/>
              <w:ind w:left="34" w:firstLine="0"/>
              <w:rPr>
                <w:rFonts w:ascii="Arial" w:hAnsi="Arial" w:cs="Arial"/>
                <w:lang w:val="en-US"/>
              </w:rPr>
            </w:pPr>
          </w:p>
          <w:p w:rsidR="00D73F41" w:rsidRPr="00D73F41" w:rsidRDefault="00D73F41" w:rsidP="00ED47AF">
            <w:pPr>
              <w:pStyle w:val="ae"/>
              <w:ind w:left="34" w:firstLine="0"/>
              <w:rPr>
                <w:rFonts w:ascii="Arial" w:hAnsi="Arial" w:cs="Arial"/>
                <w:lang w:val="en-US"/>
              </w:rPr>
            </w:pPr>
            <w:r w:rsidRPr="00D73F41">
              <w:rPr>
                <w:rFonts w:ascii="Arial" w:hAnsi="Arial" w:cs="Arial"/>
                <w:lang w:val="en-US"/>
              </w:rPr>
              <w:t>d) the income received by the Investor under the Agreement is not related to the activities of the permanent representative office in the Russian Federation in the meaning specified in the International Treaty;</w:t>
            </w:r>
          </w:p>
          <w:p w:rsidR="00D73F41" w:rsidRDefault="00D73F41" w:rsidP="00ED47AF">
            <w:pPr>
              <w:pStyle w:val="ae"/>
              <w:ind w:left="34" w:firstLine="0"/>
              <w:rPr>
                <w:rFonts w:ascii="Arial" w:hAnsi="Arial" w:cs="Arial"/>
                <w:lang w:val="en-US"/>
              </w:rPr>
            </w:pPr>
            <w:r w:rsidRPr="00D73F41">
              <w:rPr>
                <w:rFonts w:ascii="Arial" w:hAnsi="Arial" w:cs="Arial"/>
                <w:lang w:val="en-US"/>
              </w:rPr>
              <w:t>e) The Investor undertakes to send a notice to the Bank within 10 (ten) working days in writing if, starting from any point in the future, the income received from the Bank under the Agreement will be income related to the Investor’s permanent representative office on the territory of the Russian Federation;</w:t>
            </w:r>
          </w:p>
          <w:p w:rsidR="00D73F41" w:rsidRPr="00D73F41" w:rsidRDefault="00D73F41" w:rsidP="00ED47AF">
            <w:pPr>
              <w:pStyle w:val="ae"/>
              <w:ind w:left="34" w:firstLine="0"/>
              <w:rPr>
                <w:rFonts w:ascii="Arial" w:hAnsi="Arial" w:cs="Arial"/>
                <w:lang w:val="en-US"/>
              </w:rPr>
            </w:pPr>
            <w:r w:rsidRPr="00D73F41">
              <w:rPr>
                <w:rFonts w:ascii="Arial" w:hAnsi="Arial" w:cs="Arial"/>
                <w:lang w:val="en-US"/>
              </w:rPr>
              <w:t>f) with regard to the Investor, the provisions on restriction of benefits enshrined in the International Treaty (if such provisions on restriction of benefits are provided for by the International Treaty) do not apply. The investor complies with the conditions for applying the benefits defined in the International Treaty;</w:t>
            </w:r>
          </w:p>
          <w:p w:rsidR="00ED47AF" w:rsidRDefault="00ED47AF" w:rsidP="00ED47AF">
            <w:pPr>
              <w:pStyle w:val="ae"/>
              <w:ind w:left="34" w:firstLine="0"/>
              <w:rPr>
                <w:rFonts w:ascii="Arial" w:hAnsi="Arial" w:cs="Arial"/>
                <w:lang w:val="en-US"/>
              </w:rPr>
            </w:pPr>
          </w:p>
          <w:p w:rsidR="00D73F41" w:rsidRDefault="00D73F41" w:rsidP="00ED47AF">
            <w:pPr>
              <w:pStyle w:val="ae"/>
              <w:ind w:left="34" w:firstLine="0"/>
              <w:rPr>
                <w:rFonts w:ascii="Arial" w:hAnsi="Arial" w:cs="Arial"/>
                <w:lang w:val="en-US"/>
              </w:rPr>
            </w:pPr>
            <w:r w:rsidRPr="00D73F41">
              <w:rPr>
                <w:rFonts w:ascii="Arial" w:hAnsi="Arial" w:cs="Arial"/>
                <w:lang w:val="en-US"/>
              </w:rPr>
              <w:t>g) The investor conducts business, including making decisions on the material terms of the transactions to be concluded in the territory of the state under whose law the investor is established. The investor confirms that is subject to taxation in the state under the law of which the investor is established in respect of income received under the Contract;</w:t>
            </w:r>
          </w:p>
          <w:p w:rsidR="00D73F41" w:rsidRPr="00D73F41" w:rsidRDefault="00D73F41" w:rsidP="00ED47AF">
            <w:pPr>
              <w:pStyle w:val="ae"/>
              <w:ind w:left="34" w:firstLine="0"/>
              <w:rPr>
                <w:rFonts w:ascii="Arial" w:hAnsi="Arial" w:cs="Arial"/>
                <w:lang w:val="en-US"/>
              </w:rPr>
            </w:pPr>
            <w:bookmarkStart w:id="0" w:name="_GoBack"/>
            <w:bookmarkEnd w:id="0"/>
            <w:r w:rsidRPr="00D73F41">
              <w:rPr>
                <w:rFonts w:ascii="Arial" w:hAnsi="Arial" w:cs="Arial"/>
                <w:lang w:val="en-US"/>
              </w:rPr>
              <w:t>h) the powers of the executive body of the Investor to make decisions on economic activities have not been transferred to third parties;</w:t>
            </w:r>
          </w:p>
          <w:p w:rsidR="00D73F41" w:rsidRDefault="00D73F41" w:rsidP="00ED47AF">
            <w:pPr>
              <w:pStyle w:val="ae"/>
              <w:ind w:left="34" w:firstLine="0"/>
              <w:rPr>
                <w:rFonts w:ascii="Arial" w:hAnsi="Arial" w:cs="Arial"/>
                <w:lang w:val="en-US"/>
              </w:rPr>
            </w:pPr>
            <w:r w:rsidRPr="00D73F41">
              <w:rPr>
                <w:rFonts w:ascii="Arial" w:hAnsi="Arial" w:cs="Arial"/>
                <w:lang w:val="en-US"/>
              </w:rPr>
              <w:t>i) the Investor’s executive body has the authority to make decisions on the procedure for disposing of income received from the Bank under the Agreement;</w:t>
            </w:r>
          </w:p>
          <w:p w:rsidR="00D73F41" w:rsidRPr="00D73F41" w:rsidRDefault="00D73F41" w:rsidP="00ED47AF">
            <w:pPr>
              <w:pStyle w:val="ae"/>
              <w:ind w:left="34" w:firstLine="0"/>
              <w:rPr>
                <w:rFonts w:ascii="Arial" w:hAnsi="Arial" w:cs="Arial"/>
                <w:lang w:val="en-US"/>
              </w:rPr>
            </w:pPr>
          </w:p>
          <w:p w:rsidR="00D73F41" w:rsidRDefault="00D73F41" w:rsidP="00ED47AF">
            <w:pPr>
              <w:pStyle w:val="ae"/>
              <w:ind w:left="34" w:firstLine="0"/>
              <w:rPr>
                <w:rFonts w:ascii="Arial" w:hAnsi="Arial" w:cs="Arial"/>
                <w:lang w:val="en-US"/>
              </w:rPr>
            </w:pPr>
            <w:r w:rsidRPr="00D73F41">
              <w:rPr>
                <w:rFonts w:ascii="Arial" w:hAnsi="Arial" w:cs="Arial"/>
                <w:lang w:val="en-US"/>
              </w:rPr>
              <w:t>j) The investor has a sufficient number of qualified employees to carry out their business activities, which are tax residents of the state under the right of which the investor is established;</w:t>
            </w:r>
          </w:p>
          <w:p w:rsidR="00D73F41" w:rsidRPr="00D73F41" w:rsidRDefault="00D73F41" w:rsidP="00ED47AF">
            <w:pPr>
              <w:pStyle w:val="ae"/>
              <w:ind w:left="34" w:firstLine="0"/>
              <w:rPr>
                <w:rFonts w:ascii="Arial" w:hAnsi="Arial" w:cs="Arial"/>
                <w:lang w:val="en-US"/>
              </w:rPr>
            </w:pPr>
          </w:p>
          <w:p w:rsidR="00D73F41" w:rsidRPr="00D73F41" w:rsidRDefault="00D73F41" w:rsidP="00ED47AF">
            <w:pPr>
              <w:pStyle w:val="ae"/>
              <w:ind w:left="34" w:firstLine="0"/>
              <w:rPr>
                <w:rFonts w:ascii="Arial" w:hAnsi="Arial" w:cs="Arial"/>
                <w:lang w:val="en-US"/>
              </w:rPr>
            </w:pPr>
            <w:r w:rsidRPr="00D73F41">
              <w:rPr>
                <w:rFonts w:ascii="Arial" w:hAnsi="Arial" w:cs="Arial"/>
                <w:lang w:val="en-US"/>
              </w:rPr>
              <w:t>k) income received from the Bank under the Agreement does not relate to the brokerage, agency or other intermediary activities of the Investor;</w:t>
            </w:r>
          </w:p>
          <w:p w:rsidR="00D73F41" w:rsidRPr="00D73F41" w:rsidRDefault="00D73F41" w:rsidP="00ED47AF">
            <w:pPr>
              <w:pStyle w:val="ae"/>
              <w:ind w:left="34" w:firstLine="0"/>
              <w:rPr>
                <w:rFonts w:ascii="Arial" w:hAnsi="Arial" w:cs="Arial"/>
                <w:lang w:val="en-US"/>
              </w:rPr>
            </w:pPr>
            <w:r>
              <w:rPr>
                <w:rFonts w:ascii="Arial" w:hAnsi="Arial" w:cs="Arial"/>
                <w:lang w:val="en-US"/>
              </w:rPr>
              <w:t>l</w:t>
            </w:r>
            <w:r w:rsidRPr="00D73F41">
              <w:rPr>
                <w:rFonts w:ascii="Arial" w:hAnsi="Arial" w:cs="Arial"/>
                <w:lang w:val="en-US"/>
              </w:rPr>
              <w:t>) assets, the ownership rights to which allow the Investor to receive income from the Bank under the Agreement, are reflected on the Investor's balance sheet as of the date such income incurred;</w:t>
            </w:r>
          </w:p>
          <w:p w:rsidR="00D73F41" w:rsidRPr="00D73F41" w:rsidRDefault="00D73F41" w:rsidP="00ED47AF">
            <w:pPr>
              <w:pStyle w:val="ae"/>
              <w:ind w:left="34" w:firstLine="0"/>
              <w:rPr>
                <w:rFonts w:ascii="Arial" w:hAnsi="Arial" w:cs="Arial"/>
                <w:lang w:val="en-US"/>
              </w:rPr>
            </w:pPr>
            <w:r>
              <w:rPr>
                <w:rFonts w:ascii="Arial" w:hAnsi="Arial" w:cs="Arial"/>
                <w:lang w:val="en-US"/>
              </w:rPr>
              <w:t>m</w:t>
            </w:r>
            <w:r w:rsidRPr="00D73F41">
              <w:rPr>
                <w:rFonts w:ascii="Arial" w:hAnsi="Arial" w:cs="Arial"/>
                <w:lang w:val="en-US"/>
              </w:rPr>
              <w:t>) the Investor has no obligations to transfer income received from the Bank under the Agreement to third parties;</w:t>
            </w:r>
          </w:p>
          <w:p w:rsidR="00E31E85" w:rsidRDefault="00D73F41" w:rsidP="00ED47AF">
            <w:pPr>
              <w:pStyle w:val="ae"/>
              <w:ind w:left="34" w:firstLine="0"/>
              <w:rPr>
                <w:rFonts w:ascii="Arial" w:hAnsi="Arial" w:cs="Arial"/>
                <w:lang w:val="en-US"/>
              </w:rPr>
            </w:pPr>
            <w:r>
              <w:rPr>
                <w:rFonts w:ascii="Arial" w:hAnsi="Arial" w:cs="Arial"/>
                <w:lang w:val="en-US"/>
              </w:rPr>
              <w:t>n</w:t>
            </w:r>
            <w:r w:rsidRPr="00D73F41">
              <w:rPr>
                <w:rFonts w:ascii="Arial" w:hAnsi="Arial" w:cs="Arial"/>
                <w:lang w:val="en-US"/>
              </w:rPr>
              <w:t>) The investor has sufficient documents to confirm these representations. If the Bank receives a request from state bodies for the provision of such documents / information, the Investor will provide such documents / information in the amount specified in the corresponding request within 3 (three) working days, as well as provide other necessary assistance to the Bank in providing the requested information to state bodies.</w:t>
            </w:r>
          </w:p>
          <w:p w:rsidR="00E31E85" w:rsidRDefault="00E31E85" w:rsidP="00ED47AF">
            <w:pPr>
              <w:pStyle w:val="ae"/>
              <w:ind w:left="34" w:firstLine="0"/>
              <w:rPr>
                <w:rFonts w:ascii="Arial" w:hAnsi="Arial" w:cs="Arial"/>
                <w:lang w:val="en-US"/>
              </w:rPr>
            </w:pPr>
          </w:p>
          <w:p w:rsidR="00D73F41" w:rsidRDefault="00D73F41" w:rsidP="00ED47AF">
            <w:pPr>
              <w:pStyle w:val="ae"/>
              <w:ind w:left="34" w:firstLine="0"/>
              <w:rPr>
                <w:rFonts w:ascii="Arial" w:hAnsi="Arial" w:cs="Arial"/>
                <w:lang w:val="en-US"/>
              </w:rPr>
            </w:pPr>
          </w:p>
          <w:p w:rsidR="00D73F41" w:rsidRPr="00D73F41" w:rsidRDefault="00D73F41" w:rsidP="00ED47AF">
            <w:pPr>
              <w:pStyle w:val="ae"/>
              <w:ind w:left="34" w:firstLine="0"/>
              <w:rPr>
                <w:rFonts w:ascii="Arial" w:hAnsi="Arial" w:cs="Arial"/>
                <w:lang w:val="en-US"/>
              </w:rPr>
            </w:pPr>
            <w:r w:rsidRPr="00D73F41">
              <w:rPr>
                <w:rFonts w:ascii="Arial" w:hAnsi="Arial" w:cs="Arial"/>
                <w:lang w:val="en-US"/>
              </w:rPr>
              <w:t>If some or all of the representations stated in this clause no longer correspond to reality or cease to be applicable to the Investor, the Investor undertakes to notify the Bank in writing within 10 (ten) working days from the date of the occurrence of the relevant fact.</w:t>
            </w:r>
          </w:p>
          <w:p w:rsidR="00D73F41" w:rsidRDefault="00D73F41" w:rsidP="00ED47AF">
            <w:pPr>
              <w:pStyle w:val="ae"/>
              <w:ind w:left="34" w:firstLine="0"/>
              <w:rPr>
                <w:rFonts w:ascii="Arial" w:hAnsi="Arial" w:cs="Arial"/>
                <w:lang w:val="en-US"/>
              </w:rPr>
            </w:pPr>
          </w:p>
          <w:p w:rsidR="00D73F41" w:rsidRDefault="00D73F41" w:rsidP="00ED47AF">
            <w:pPr>
              <w:pStyle w:val="ae"/>
              <w:ind w:left="34" w:firstLine="0"/>
              <w:rPr>
                <w:rFonts w:ascii="Arial" w:hAnsi="Arial" w:cs="Arial"/>
                <w:lang w:val="en-US"/>
              </w:rPr>
            </w:pPr>
            <w:r>
              <w:rPr>
                <w:rFonts w:ascii="Arial" w:hAnsi="Arial" w:cs="Arial"/>
                <w:lang w:val="en-US"/>
              </w:rPr>
              <w:t xml:space="preserve">2. </w:t>
            </w:r>
            <w:r w:rsidRPr="00D73F41">
              <w:rPr>
                <w:rFonts w:ascii="Arial" w:hAnsi="Arial" w:cs="Arial"/>
                <w:lang w:val="en-US"/>
              </w:rPr>
              <w:t>If the Bank, when paying income to the Investor in any past period, applied the provisions of the International Treaty providing for exemption from tax or withholding tax at lower rates, and the Investor did not provide some or all of the documents listed in paragraph 8.2.10.2. of the Regulations for the given previous period, the Bank withholds the income paid to the Investor in the current period, withholding tax for the given past and current periods.</w:t>
            </w:r>
          </w:p>
          <w:p w:rsidR="00D73F41" w:rsidRPr="00D73F41" w:rsidRDefault="00D73F41" w:rsidP="00ED47AF">
            <w:pPr>
              <w:pStyle w:val="ae"/>
              <w:ind w:left="34" w:firstLine="0"/>
              <w:rPr>
                <w:rFonts w:ascii="Arial" w:hAnsi="Arial" w:cs="Arial"/>
                <w:lang w:val="en-US"/>
              </w:rPr>
            </w:pPr>
          </w:p>
          <w:p w:rsidR="00D73F41" w:rsidRPr="00D73F41" w:rsidRDefault="00D73F41" w:rsidP="00ED47AF">
            <w:pPr>
              <w:pStyle w:val="ae"/>
              <w:ind w:left="34" w:firstLine="0"/>
              <w:rPr>
                <w:rFonts w:ascii="Arial" w:hAnsi="Arial" w:cs="Arial"/>
                <w:lang w:val="en-US"/>
              </w:rPr>
            </w:pPr>
            <w:r w:rsidRPr="00D73F41">
              <w:rPr>
                <w:rFonts w:ascii="Arial" w:hAnsi="Arial" w:cs="Arial"/>
                <w:lang w:val="en-US"/>
              </w:rPr>
              <w:t>If it is impossible to withhold the tax amount from the income, the Investor grants the right and orders the Bank to debit the appropriate funds in the amount of tax sum from the Investor’s account without additional orders from the Investor.</w:t>
            </w:r>
          </w:p>
          <w:p w:rsidR="00D73F41" w:rsidRDefault="00D73F41" w:rsidP="00ED47AF">
            <w:pPr>
              <w:pStyle w:val="ae"/>
              <w:ind w:left="34" w:firstLine="0"/>
              <w:rPr>
                <w:rFonts w:ascii="Arial" w:hAnsi="Arial" w:cs="Arial"/>
                <w:lang w:val="en-US"/>
              </w:rPr>
            </w:pPr>
            <w:r w:rsidRPr="00D73F41">
              <w:rPr>
                <w:rFonts w:ascii="Arial" w:hAnsi="Arial" w:cs="Arial"/>
                <w:lang w:val="en-US"/>
              </w:rPr>
              <w:t>The Investor’s order contained in this paragraph shall be recognized by the Parties as an advance acceptance related to the Bank’s settlement documents issued by the Bank to the Investor’s account for the Investor’s obligations to the Bank for the purpose of debiting funds (tax amount or part of such amount) from the Investor’s account to the amount specified directly in the settlement document, without restrictions on the number of settlement documents of the Bank, on the amount and requirements of the obligations arising from the Agreement, with the possibility of partial execution of settlement documents by the Bank.</w:t>
            </w:r>
          </w:p>
          <w:p w:rsidR="00D73F41" w:rsidRPr="00D73F41" w:rsidRDefault="00D73F41" w:rsidP="00ED47AF">
            <w:pPr>
              <w:pStyle w:val="ae"/>
              <w:ind w:left="34" w:firstLine="0"/>
              <w:rPr>
                <w:rFonts w:ascii="Arial" w:hAnsi="Arial" w:cs="Arial"/>
                <w:lang w:val="en-US"/>
              </w:rPr>
            </w:pPr>
          </w:p>
          <w:p w:rsidR="00D73F41" w:rsidRPr="00D73F41" w:rsidRDefault="00D73F41" w:rsidP="00ED47AF">
            <w:pPr>
              <w:pStyle w:val="ae"/>
              <w:ind w:left="34" w:firstLine="0"/>
              <w:rPr>
                <w:rFonts w:ascii="Arial" w:hAnsi="Arial" w:cs="Arial"/>
                <w:lang w:val="en-US"/>
              </w:rPr>
            </w:pPr>
            <w:r w:rsidRPr="00D73F41">
              <w:rPr>
                <w:rFonts w:ascii="Arial" w:hAnsi="Arial" w:cs="Arial"/>
                <w:lang w:val="en-US"/>
              </w:rPr>
              <w:t>The Investor hereby agrees that the Bank is also entitled to debit the funds (tax amounts or a part of such amount) from the Investor’s account in settlements with the collection of payments.</w:t>
            </w:r>
          </w:p>
          <w:p w:rsidR="00D73F41" w:rsidRPr="00D73F41" w:rsidRDefault="00D73F41" w:rsidP="00ED47AF">
            <w:pPr>
              <w:pStyle w:val="ae"/>
              <w:ind w:left="34" w:firstLine="0"/>
              <w:rPr>
                <w:rFonts w:ascii="Arial" w:hAnsi="Arial" w:cs="Arial"/>
                <w:lang w:val="en-US"/>
              </w:rPr>
            </w:pPr>
            <w:r>
              <w:rPr>
                <w:rFonts w:ascii="Arial" w:hAnsi="Arial" w:cs="Arial"/>
                <w:lang w:val="en-US"/>
              </w:rPr>
              <w:t>3</w:t>
            </w:r>
            <w:r w:rsidRPr="00D73F41">
              <w:rPr>
                <w:rFonts w:ascii="Arial" w:hAnsi="Arial" w:cs="Arial"/>
                <w:lang w:val="en-US"/>
              </w:rPr>
              <w:t>. The Investor undertakes to reimburse the Bank’s losses incurred due to the violation of the representations given by the Investor in accordance with clause 8.8 of the Agreement, including, but not limited to, the amounts paid by the Bank to the budget based on claims of tax authorities on additional taxation of income of foreign companies, as well as the amount of fines and penalties within 10 (ten) business days from the date of receipt of the Bank’s claim.</w:t>
            </w:r>
          </w:p>
          <w:p w:rsidR="00D73F41" w:rsidRPr="00D73F41" w:rsidRDefault="00D73F41" w:rsidP="00ED47AF">
            <w:pPr>
              <w:pStyle w:val="ae"/>
              <w:ind w:left="34" w:firstLine="0"/>
              <w:rPr>
                <w:rFonts w:ascii="Arial" w:hAnsi="Arial" w:cs="Arial"/>
                <w:lang w:val="en-US"/>
              </w:rPr>
            </w:pPr>
            <w:r w:rsidRPr="00D73F41">
              <w:rPr>
                <w:rFonts w:ascii="Arial" w:hAnsi="Arial" w:cs="Arial"/>
                <w:lang w:val="en-US"/>
              </w:rPr>
              <w:t>In addition, the Investor undertakes to reimburse to the Bank all expenses (including, but not limited to, taxes arising from the Bank with such reimbursement) related to the violation of these representations, including the costs of legal fees.</w:t>
            </w:r>
          </w:p>
          <w:p w:rsidR="00D73F41" w:rsidRDefault="00D73F41" w:rsidP="00D73F41">
            <w:pPr>
              <w:pStyle w:val="ae"/>
              <w:ind w:left="34" w:firstLine="0"/>
              <w:rPr>
                <w:rFonts w:ascii="Arial" w:hAnsi="Arial" w:cs="Arial"/>
                <w:lang w:val="en-US"/>
              </w:rPr>
            </w:pPr>
            <w:r w:rsidRPr="00D73F41">
              <w:rPr>
                <w:rFonts w:ascii="Arial" w:hAnsi="Arial" w:cs="Arial"/>
                <w:lang w:val="en-US"/>
              </w:rPr>
              <w:t>In accordance with the provisions of Article 431.2 (Representations of Circumstances) of the Civil Code of the Russian Federation, the Bank proceeds from the assumption that the accuracy specified in clauses 8.8. - 8.10 representations about the circumstances as at the date of the conclusion of the Agreement and throughout the entire period of its validity is essential for the Bank, and the Bank has concluded the Agreement by relying on them.</w:t>
            </w:r>
          </w:p>
          <w:p w:rsidR="00C8159C" w:rsidRPr="00C8159C" w:rsidRDefault="00C8159C" w:rsidP="00AF59A1">
            <w:pPr>
              <w:pStyle w:val="ae"/>
              <w:ind w:left="34" w:firstLine="0"/>
              <w:rPr>
                <w:rFonts w:ascii="Arial" w:hAnsi="Arial" w:cs="Arial"/>
                <w:lang w:val="en-GB"/>
              </w:rPr>
            </w:pPr>
            <w:r w:rsidRPr="00C8159C">
              <w:rPr>
                <w:rFonts w:ascii="Arial" w:hAnsi="Arial" w:cs="Arial"/>
                <w:lang w:val="en-US"/>
              </w:rPr>
              <w:t>In case of any inconsistency between the English language version and the Russian language version in this Application or a difference in the interpretation thereof, the Russian version shall prevail.</w:t>
            </w:r>
          </w:p>
        </w:tc>
      </w:tr>
      <w:tr w:rsidR="00C8159C" w:rsidRPr="00395A1F" w:rsidTr="00C8159C">
        <w:trPr>
          <w:trHeight w:val="294"/>
        </w:trPr>
        <w:tc>
          <w:tcPr>
            <w:tcW w:w="5246" w:type="dxa"/>
          </w:tcPr>
          <w:p w:rsidR="00C8159C" w:rsidRPr="00C076B2" w:rsidRDefault="00C8159C" w:rsidP="00E17828">
            <w:pPr>
              <w:pStyle w:val="Default"/>
              <w:jc w:val="both"/>
              <w:rPr>
                <w:rFonts w:ascii="Arial" w:hAnsi="Arial" w:cs="Arial"/>
                <w:sz w:val="20"/>
                <w:szCs w:val="20"/>
              </w:rPr>
            </w:pPr>
            <w:r w:rsidRPr="00C076B2">
              <w:rPr>
                <w:rFonts w:ascii="Arial" w:hAnsi="Arial" w:cs="Arial"/>
                <w:sz w:val="20"/>
                <w:szCs w:val="20"/>
              </w:rPr>
              <w:t xml:space="preserve">Акцептом Банка данного заявления является открытие Инвестору </w:t>
            </w:r>
            <w:r>
              <w:rPr>
                <w:rFonts w:ascii="Arial" w:hAnsi="Arial" w:cs="Arial"/>
                <w:sz w:val="20"/>
                <w:szCs w:val="20"/>
              </w:rPr>
              <w:t>б</w:t>
            </w:r>
            <w:r w:rsidRPr="00C076B2">
              <w:rPr>
                <w:rFonts w:ascii="Arial" w:hAnsi="Arial" w:cs="Arial"/>
                <w:sz w:val="20"/>
                <w:szCs w:val="20"/>
              </w:rPr>
              <w:t>рокерского счета</w:t>
            </w:r>
            <w:r>
              <w:rPr>
                <w:rStyle w:val="a9"/>
                <w:rFonts w:ascii="Arial" w:hAnsi="Arial" w:cs="Arial"/>
                <w:sz w:val="20"/>
                <w:szCs w:val="20"/>
              </w:rPr>
              <w:footnoteReference w:id="2"/>
            </w:r>
            <w:r w:rsidRPr="00C076B2">
              <w:rPr>
                <w:rFonts w:ascii="Arial" w:hAnsi="Arial" w:cs="Arial"/>
                <w:sz w:val="20"/>
                <w:szCs w:val="20"/>
              </w:rPr>
              <w:t>.</w:t>
            </w:r>
          </w:p>
        </w:tc>
        <w:tc>
          <w:tcPr>
            <w:tcW w:w="5245" w:type="dxa"/>
          </w:tcPr>
          <w:p w:rsidR="00C8159C" w:rsidRPr="00D620C7" w:rsidRDefault="00C8159C" w:rsidP="00E17828">
            <w:pPr>
              <w:pStyle w:val="Default"/>
              <w:jc w:val="both"/>
              <w:rPr>
                <w:rFonts w:ascii="Arial" w:hAnsi="Arial" w:cs="Arial"/>
                <w:sz w:val="20"/>
                <w:szCs w:val="20"/>
                <w:lang w:val="en-US"/>
              </w:rPr>
            </w:pPr>
            <w:r w:rsidRPr="002851A5">
              <w:rPr>
                <w:rFonts w:ascii="Arial" w:hAnsi="Arial" w:cs="Arial"/>
                <w:sz w:val="20"/>
                <w:szCs w:val="20"/>
                <w:lang w:val="en-US"/>
              </w:rPr>
              <w:t xml:space="preserve">The Bank's acceptance of this </w:t>
            </w:r>
            <w:r>
              <w:rPr>
                <w:rFonts w:ascii="Arial" w:hAnsi="Arial" w:cs="Arial"/>
                <w:sz w:val="20"/>
                <w:szCs w:val="20"/>
                <w:lang w:val="en-US"/>
              </w:rPr>
              <w:t>A</w:t>
            </w:r>
            <w:r w:rsidRPr="002851A5">
              <w:rPr>
                <w:rFonts w:ascii="Arial" w:hAnsi="Arial" w:cs="Arial"/>
                <w:sz w:val="20"/>
                <w:szCs w:val="20"/>
                <w:lang w:val="en-US"/>
              </w:rPr>
              <w:t xml:space="preserve">pplication </w:t>
            </w:r>
            <w:r>
              <w:rPr>
                <w:rFonts w:ascii="Arial" w:hAnsi="Arial" w:cs="Arial"/>
                <w:sz w:val="20"/>
                <w:szCs w:val="20"/>
                <w:lang w:val="en-US"/>
              </w:rPr>
              <w:t>means</w:t>
            </w:r>
            <w:r w:rsidRPr="002851A5">
              <w:rPr>
                <w:rFonts w:ascii="Arial" w:hAnsi="Arial" w:cs="Arial"/>
                <w:sz w:val="20"/>
                <w:szCs w:val="20"/>
                <w:lang w:val="en-US"/>
              </w:rPr>
              <w:t xml:space="preserve"> the opening of a brokerage account to the Investor</w:t>
            </w:r>
            <w:r w:rsidR="00D620C7" w:rsidRPr="00D620C7">
              <w:rPr>
                <w:rFonts w:ascii="Arial" w:hAnsi="Arial" w:cs="Arial"/>
                <w:sz w:val="20"/>
                <w:szCs w:val="20"/>
                <w:lang w:val="en-US"/>
              </w:rPr>
              <w:t>.</w:t>
            </w:r>
            <w:r w:rsidR="00D620C7" w:rsidRPr="00D620C7">
              <w:rPr>
                <w:rFonts w:ascii="Arial" w:hAnsi="Arial" w:cs="Arial"/>
                <w:sz w:val="20"/>
                <w:szCs w:val="20"/>
                <w:vertAlign w:val="superscript"/>
                <w:lang w:val="en-US"/>
              </w:rPr>
              <w:t>2</w:t>
            </w:r>
          </w:p>
        </w:tc>
      </w:tr>
      <w:tr w:rsidR="00C8159C" w:rsidRPr="00C076B2" w:rsidTr="00D620C7">
        <w:trPr>
          <w:trHeight w:val="569"/>
        </w:trPr>
        <w:tc>
          <w:tcPr>
            <w:tcW w:w="10491" w:type="dxa"/>
            <w:gridSpan w:val="2"/>
            <w:tcBorders>
              <w:bottom w:val="nil"/>
            </w:tcBorders>
          </w:tcPr>
          <w:p w:rsidR="00C8159C" w:rsidRPr="00C8159C" w:rsidRDefault="00C8159C" w:rsidP="00BC3CEE">
            <w:pPr>
              <w:pStyle w:val="Default"/>
              <w:jc w:val="both"/>
              <w:rPr>
                <w:rFonts w:ascii="Arial" w:hAnsi="Arial" w:cs="Arial"/>
                <w:color w:val="auto"/>
                <w:sz w:val="20"/>
                <w:szCs w:val="20"/>
                <w:lang w:val="en-US"/>
              </w:rPr>
            </w:pPr>
          </w:p>
          <w:p w:rsidR="00C8159C" w:rsidRPr="00C076B2" w:rsidRDefault="00C8159C" w:rsidP="00BC3CEE">
            <w:pPr>
              <w:pStyle w:val="Default"/>
              <w:jc w:val="both"/>
              <w:rPr>
                <w:rFonts w:ascii="Arial" w:hAnsi="Arial" w:cs="Arial"/>
                <w:color w:val="auto"/>
                <w:sz w:val="20"/>
                <w:szCs w:val="20"/>
              </w:rPr>
            </w:pPr>
            <w:r w:rsidRPr="00C076B2">
              <w:rPr>
                <w:rFonts w:ascii="Arial" w:hAnsi="Arial" w:cs="Arial"/>
                <w:color w:val="auto"/>
                <w:sz w:val="20"/>
                <w:szCs w:val="20"/>
              </w:rPr>
              <w:t>«</w:t>
            </w:r>
            <w:r w:rsidRPr="00C076B2">
              <w:rPr>
                <w:rFonts w:ascii="Arial" w:hAnsi="Arial" w:cs="Arial"/>
                <w:sz w:val="20"/>
                <w:szCs w:val="20"/>
              </w:rPr>
              <w:t>___</w:t>
            </w:r>
            <w:r w:rsidRPr="00C076B2">
              <w:rPr>
                <w:rFonts w:ascii="Arial" w:hAnsi="Arial" w:cs="Arial"/>
                <w:color w:val="auto"/>
                <w:sz w:val="20"/>
                <w:szCs w:val="20"/>
              </w:rPr>
              <w:t xml:space="preserve"> »_____________ 20__ г.</w:t>
            </w:r>
          </w:p>
        </w:tc>
      </w:tr>
      <w:tr w:rsidR="00D620C7" w:rsidRPr="00395A1F" w:rsidTr="00D620C7">
        <w:tc>
          <w:tcPr>
            <w:tcW w:w="10491" w:type="dxa"/>
            <w:gridSpan w:val="2"/>
            <w:tcBorders>
              <w:top w:val="nil"/>
              <w:bottom w:val="nil"/>
            </w:tcBorders>
          </w:tcPr>
          <w:p w:rsidR="00D620C7" w:rsidRPr="00C076B2" w:rsidRDefault="00D620C7" w:rsidP="00D620C7">
            <w:pPr>
              <w:spacing w:after="120"/>
            </w:pPr>
            <w:r w:rsidRPr="00C076B2">
              <w:t>представитель ИНВЕСТОРА, действующий на основании</w:t>
            </w:r>
            <w:r w:rsidRPr="00D620C7">
              <w:t xml:space="preserve"> </w:t>
            </w:r>
            <w:r w:rsidRPr="00C8159C">
              <w:t xml:space="preserve">/ </w:t>
            </w:r>
            <w:r w:rsidRPr="002851A5">
              <w:rPr>
                <w:lang w:val="en-US"/>
              </w:rPr>
              <w:t>INVESTOR</w:t>
            </w:r>
            <w:r w:rsidRPr="00C8159C">
              <w:t>’</w:t>
            </w:r>
            <w:r>
              <w:rPr>
                <w:lang w:val="en-US"/>
              </w:rPr>
              <w:t>s</w:t>
            </w:r>
            <w:r w:rsidRPr="00C8159C">
              <w:t xml:space="preserve"> </w:t>
            </w:r>
            <w:r>
              <w:rPr>
                <w:lang w:val="en-US"/>
              </w:rPr>
              <w:t>representative</w:t>
            </w:r>
            <w:r w:rsidRPr="00C8159C">
              <w:t xml:space="preserve">, </w:t>
            </w:r>
            <w:r w:rsidRPr="002851A5">
              <w:rPr>
                <w:lang w:val="en-US"/>
              </w:rPr>
              <w:t>acting</w:t>
            </w:r>
            <w:r w:rsidRPr="00C8159C">
              <w:t xml:space="preserve"> </w:t>
            </w:r>
            <w:r>
              <w:rPr>
                <w:lang w:val="en-US"/>
              </w:rPr>
              <w:t>under</w:t>
            </w:r>
            <w:r w:rsidRPr="00C076B2">
              <w:t xml:space="preserve">: </w:t>
            </w:r>
          </w:p>
          <w:p w:rsidR="00D620C7" w:rsidRPr="00C8159C" w:rsidRDefault="00D620C7" w:rsidP="00D620C7">
            <w:pPr>
              <w:spacing w:after="120"/>
              <w:rPr>
                <w:lang w:val="en-US"/>
              </w:rPr>
            </w:pPr>
            <w:r w:rsidRPr="00ED034B">
              <w:rPr>
                <w:lang w:val="en-US"/>
              </w:rPr>
              <w:t>____________________________________________________________</w:t>
            </w:r>
            <w:r>
              <w:rPr>
                <w:lang w:val="en-US"/>
              </w:rPr>
              <w:t>________________________________</w:t>
            </w:r>
          </w:p>
          <w:p w:rsidR="00D620C7" w:rsidRPr="00D620C7" w:rsidRDefault="00D620C7" w:rsidP="00D620C7">
            <w:pPr>
              <w:spacing w:after="120"/>
              <w:jc w:val="center"/>
              <w:rPr>
                <w:lang w:val="en-US"/>
              </w:rPr>
            </w:pPr>
            <w:r w:rsidRPr="00C8159C">
              <w:rPr>
                <w:lang w:val="en-US"/>
              </w:rPr>
              <w:t>(</w:t>
            </w:r>
            <w:r w:rsidRPr="00C076B2">
              <w:rPr>
                <w:i/>
              </w:rPr>
              <w:t>наименование</w:t>
            </w:r>
            <w:r w:rsidRPr="00C8159C">
              <w:rPr>
                <w:i/>
                <w:lang w:val="en-US"/>
              </w:rPr>
              <w:t xml:space="preserve"> </w:t>
            </w:r>
            <w:r w:rsidRPr="00C076B2">
              <w:rPr>
                <w:i/>
              </w:rPr>
              <w:t>и</w:t>
            </w:r>
            <w:r w:rsidRPr="00C8159C">
              <w:rPr>
                <w:i/>
                <w:lang w:val="en-US"/>
              </w:rPr>
              <w:t xml:space="preserve"> </w:t>
            </w:r>
            <w:r w:rsidRPr="00C076B2">
              <w:rPr>
                <w:i/>
              </w:rPr>
              <w:t>реквизиты</w:t>
            </w:r>
            <w:r w:rsidRPr="00C8159C">
              <w:rPr>
                <w:i/>
                <w:lang w:val="en-US"/>
              </w:rPr>
              <w:t xml:space="preserve"> </w:t>
            </w:r>
            <w:r w:rsidRPr="00C076B2">
              <w:rPr>
                <w:i/>
              </w:rPr>
              <w:t>документа</w:t>
            </w:r>
            <w:r w:rsidRPr="00C8159C">
              <w:rPr>
                <w:lang w:val="en-US"/>
              </w:rPr>
              <w:t>)</w:t>
            </w:r>
            <w:r w:rsidRPr="00D620C7">
              <w:rPr>
                <w:lang w:val="en-US"/>
              </w:rPr>
              <w:t xml:space="preserve"> </w:t>
            </w:r>
            <w:r>
              <w:rPr>
                <w:lang w:val="en-US"/>
              </w:rPr>
              <w:t>/</w:t>
            </w:r>
            <w:r w:rsidRPr="002851A5">
              <w:rPr>
                <w:lang w:val="en-US"/>
              </w:rPr>
              <w:t xml:space="preserve"> (</w:t>
            </w:r>
            <w:r>
              <w:rPr>
                <w:i/>
                <w:lang w:val="en-US"/>
              </w:rPr>
              <w:t>name and detail</w:t>
            </w:r>
            <w:r w:rsidRPr="002851A5">
              <w:rPr>
                <w:i/>
                <w:lang w:val="en-US"/>
              </w:rPr>
              <w:t>s of the document</w:t>
            </w:r>
            <w:r w:rsidRPr="002851A5">
              <w:rPr>
                <w:lang w:val="en-US"/>
              </w:rPr>
              <w:t>)</w:t>
            </w:r>
          </w:p>
        </w:tc>
      </w:tr>
      <w:tr w:rsidR="00D620C7" w:rsidRPr="00D620C7" w:rsidTr="00D620C7">
        <w:tc>
          <w:tcPr>
            <w:tcW w:w="10491" w:type="dxa"/>
            <w:gridSpan w:val="2"/>
            <w:tcBorders>
              <w:top w:val="nil"/>
              <w:bottom w:val="nil"/>
            </w:tcBorders>
          </w:tcPr>
          <w:p w:rsidR="00D620C7" w:rsidRPr="00C8159C" w:rsidRDefault="00D620C7" w:rsidP="00D620C7">
            <w:pPr>
              <w:spacing w:after="120"/>
              <w:rPr>
                <w:lang w:val="en-US"/>
              </w:rPr>
            </w:pPr>
            <w:r w:rsidRPr="00C076B2">
              <w:t>Адрес</w:t>
            </w:r>
            <w:r w:rsidRPr="00C8159C">
              <w:rPr>
                <w:lang w:val="en-US"/>
              </w:rPr>
              <w:t xml:space="preserve"> </w:t>
            </w:r>
            <w:r w:rsidRPr="00C076B2">
              <w:t>представителя</w:t>
            </w:r>
            <w:r w:rsidRPr="00C8159C">
              <w:rPr>
                <w:lang w:val="en-US"/>
              </w:rPr>
              <w:t xml:space="preserve"> </w:t>
            </w:r>
            <w:r w:rsidRPr="00C076B2">
              <w:t>ИНВЕСТОРА</w:t>
            </w:r>
            <w:r>
              <w:rPr>
                <w:lang w:val="en-US"/>
              </w:rPr>
              <w:t>/ Address of</w:t>
            </w:r>
            <w:r w:rsidRPr="00A80982">
              <w:rPr>
                <w:lang w:val="en-US"/>
              </w:rPr>
              <w:t xml:space="preserve"> </w:t>
            </w:r>
            <w:r w:rsidRPr="002851A5">
              <w:rPr>
                <w:lang w:val="en-US"/>
              </w:rPr>
              <w:t>INVESTOR</w:t>
            </w:r>
            <w:r>
              <w:rPr>
                <w:lang w:val="en-US"/>
              </w:rPr>
              <w:t>’s representative</w:t>
            </w:r>
            <w:r w:rsidRPr="00C076B2">
              <w:rPr>
                <w:rStyle w:val="a9"/>
              </w:rPr>
              <w:footnoteReference w:id="3"/>
            </w:r>
            <w:r w:rsidRPr="00C8159C">
              <w:rPr>
                <w:lang w:val="en-US"/>
              </w:rPr>
              <w:t>:</w:t>
            </w:r>
          </w:p>
          <w:p w:rsidR="00D620C7" w:rsidRPr="00D620C7" w:rsidRDefault="00D620C7" w:rsidP="00D620C7">
            <w:pPr>
              <w:spacing w:after="120"/>
              <w:rPr>
                <w:lang w:val="en-US"/>
              </w:rPr>
            </w:pPr>
            <w:r w:rsidRPr="00C076B2">
              <w:t>______________________________________________________</w:t>
            </w:r>
            <w:r>
              <w:t>______________________________________</w:t>
            </w:r>
          </w:p>
        </w:tc>
      </w:tr>
      <w:tr w:rsidR="00C8159C" w:rsidRPr="00395A1F" w:rsidTr="00D620C7">
        <w:tc>
          <w:tcPr>
            <w:tcW w:w="10491" w:type="dxa"/>
            <w:gridSpan w:val="2"/>
            <w:tcBorders>
              <w:top w:val="nil"/>
              <w:bottom w:val="single" w:sz="4" w:space="0" w:color="auto"/>
            </w:tcBorders>
          </w:tcPr>
          <w:p w:rsidR="00D620C7" w:rsidRPr="00D620C7" w:rsidRDefault="00C8159C" w:rsidP="00D620C7">
            <w:pPr>
              <w:spacing w:after="120"/>
            </w:pPr>
            <w:r w:rsidRPr="00C076B2">
              <w:t>_______________________________________/__________________________</w:t>
            </w:r>
            <w:r w:rsidR="00D620C7" w:rsidRPr="00D620C7">
              <w:t xml:space="preserve">/__________________________ </w:t>
            </w:r>
          </w:p>
          <w:p w:rsidR="00D620C7" w:rsidRDefault="00C8159C" w:rsidP="00D620C7">
            <w:pPr>
              <w:rPr>
                <w:i/>
              </w:rPr>
            </w:pPr>
            <w:r w:rsidRPr="00C076B2">
              <w:t>(</w:t>
            </w:r>
            <w:r w:rsidRPr="00C076B2">
              <w:rPr>
                <w:i/>
              </w:rPr>
              <w:t>ФИО полностью</w:t>
            </w:r>
            <w:r w:rsidRPr="00C076B2">
              <w:t>)</w:t>
            </w:r>
            <w:r w:rsidRPr="00C8159C">
              <w:t>/(</w:t>
            </w:r>
            <w:r>
              <w:rPr>
                <w:i/>
                <w:lang w:val="en-US"/>
              </w:rPr>
              <w:t>full</w:t>
            </w:r>
            <w:r w:rsidRPr="00C8159C">
              <w:rPr>
                <w:i/>
              </w:rPr>
              <w:t xml:space="preserve"> </w:t>
            </w:r>
            <w:r>
              <w:rPr>
                <w:i/>
                <w:lang w:val="en-US"/>
              </w:rPr>
              <w:t>name</w:t>
            </w:r>
            <w:r w:rsidR="00D620C7" w:rsidRPr="00D620C7">
              <w:rPr>
                <w:i/>
              </w:rPr>
              <w:t>)</w:t>
            </w:r>
            <w:r w:rsidR="00D620C7" w:rsidRPr="00D620C7">
              <w:rPr>
                <w:i/>
              </w:rPr>
              <w:tab/>
            </w:r>
            <w:r w:rsidR="00D620C7" w:rsidRPr="00D620C7">
              <w:rPr>
                <w:i/>
              </w:rPr>
              <w:tab/>
            </w:r>
            <w:r w:rsidR="00D620C7" w:rsidRPr="00D620C7">
              <w:rPr>
                <w:i/>
              </w:rPr>
              <w:tab/>
            </w:r>
            <w:r w:rsidRPr="00C076B2">
              <w:t>(</w:t>
            </w:r>
            <w:r w:rsidRPr="00C076B2">
              <w:rPr>
                <w:i/>
              </w:rPr>
              <w:t>подпись</w:t>
            </w:r>
            <w:r w:rsidRPr="00C076B2">
              <w:t>)</w:t>
            </w:r>
            <w:r w:rsidRPr="00C8159C">
              <w:t>/(</w:t>
            </w:r>
            <w:r>
              <w:rPr>
                <w:i/>
                <w:lang w:val="en-US"/>
              </w:rPr>
              <w:t>signature</w:t>
            </w:r>
            <w:r w:rsidRPr="00C8159C">
              <w:t>)</w:t>
            </w:r>
            <w:r w:rsidR="00D620C7" w:rsidRPr="00D620C7">
              <w:t xml:space="preserve">     </w:t>
            </w:r>
            <w:r w:rsidR="00D620C7" w:rsidRPr="00D620C7">
              <w:tab/>
              <w:t xml:space="preserve">   </w:t>
            </w:r>
            <w:r w:rsidRPr="00C076B2">
              <w:t>(</w:t>
            </w:r>
            <w:r w:rsidRPr="00C076B2">
              <w:rPr>
                <w:i/>
              </w:rPr>
              <w:t>дата проставления</w:t>
            </w:r>
            <w:r w:rsidR="00D620C7" w:rsidRPr="00D620C7">
              <w:rPr>
                <w:i/>
              </w:rPr>
              <w:t xml:space="preserve"> </w:t>
            </w:r>
            <w:r w:rsidR="00D620C7">
              <w:rPr>
                <w:i/>
              </w:rPr>
              <w:t xml:space="preserve">подписи)/ </w:t>
            </w:r>
          </w:p>
          <w:p w:rsidR="00C8159C" w:rsidRPr="00D620C7" w:rsidRDefault="00D620C7" w:rsidP="00D620C7">
            <w:pPr>
              <w:rPr>
                <w:lang w:val="en-US"/>
              </w:rPr>
            </w:pPr>
            <w:r>
              <w:rPr>
                <w:i/>
              </w:rPr>
              <w:tab/>
            </w:r>
            <w:r>
              <w:rPr>
                <w:i/>
              </w:rPr>
              <w:tab/>
            </w:r>
            <w:r>
              <w:rPr>
                <w:i/>
              </w:rPr>
              <w:tab/>
            </w:r>
            <w:r>
              <w:rPr>
                <w:i/>
              </w:rPr>
              <w:tab/>
            </w:r>
            <w:r>
              <w:rPr>
                <w:i/>
              </w:rPr>
              <w:tab/>
            </w:r>
            <w:r>
              <w:rPr>
                <w:i/>
              </w:rPr>
              <w:tab/>
            </w:r>
            <w:r>
              <w:rPr>
                <w:i/>
              </w:rPr>
              <w:tab/>
            </w:r>
            <w:r>
              <w:rPr>
                <w:i/>
              </w:rPr>
              <w:tab/>
            </w:r>
            <w:r>
              <w:rPr>
                <w:i/>
              </w:rPr>
              <w:tab/>
            </w:r>
            <w:r>
              <w:rPr>
                <w:i/>
              </w:rPr>
              <w:tab/>
            </w:r>
            <w:r>
              <w:rPr>
                <w:i/>
              </w:rPr>
              <w:tab/>
            </w:r>
            <w:r w:rsidR="00C8159C" w:rsidRPr="00D620C7">
              <w:rPr>
                <w:lang w:val="en-US"/>
              </w:rPr>
              <w:t>(</w:t>
            </w:r>
            <w:r w:rsidR="00C8159C">
              <w:rPr>
                <w:i/>
                <w:lang w:val="en-US"/>
              </w:rPr>
              <w:t>date</w:t>
            </w:r>
            <w:r w:rsidR="00C8159C" w:rsidRPr="00D620C7">
              <w:rPr>
                <w:i/>
                <w:lang w:val="en-US"/>
              </w:rPr>
              <w:t xml:space="preserve"> </w:t>
            </w:r>
            <w:r w:rsidR="00C8159C">
              <w:rPr>
                <w:i/>
                <w:lang w:val="en-US"/>
              </w:rPr>
              <w:t>of</w:t>
            </w:r>
            <w:r w:rsidR="00C8159C" w:rsidRPr="00D620C7">
              <w:rPr>
                <w:i/>
                <w:lang w:val="en-US"/>
              </w:rPr>
              <w:t xml:space="preserve"> </w:t>
            </w:r>
            <w:r w:rsidR="00C8159C">
              <w:rPr>
                <w:i/>
                <w:lang w:val="en-US"/>
              </w:rPr>
              <w:t>signature</w:t>
            </w:r>
            <w:r w:rsidR="00C8159C" w:rsidRPr="00D620C7">
              <w:rPr>
                <w:lang w:val="en-US"/>
              </w:rPr>
              <w:t xml:space="preserve">) </w:t>
            </w:r>
          </w:p>
          <w:p w:rsidR="00C8159C" w:rsidRPr="00D620C7" w:rsidRDefault="00C8159C" w:rsidP="00D620C7">
            <w:pPr>
              <w:spacing w:after="120"/>
              <w:rPr>
                <w:lang w:val="en-US"/>
              </w:rPr>
            </w:pPr>
            <w:r w:rsidRPr="00D620C7">
              <w:rPr>
                <w:lang w:val="en-US"/>
              </w:rPr>
              <w:t xml:space="preserve">                                </w:t>
            </w:r>
          </w:p>
          <w:p w:rsidR="00C8159C" w:rsidRPr="00D620C7" w:rsidRDefault="00C8159C" w:rsidP="00D620C7">
            <w:pPr>
              <w:pStyle w:val="Default"/>
              <w:spacing w:after="120"/>
              <w:jc w:val="both"/>
              <w:rPr>
                <w:lang w:val="en-US"/>
              </w:rPr>
            </w:pPr>
            <w:r w:rsidRPr="00C076B2">
              <w:rPr>
                <w:rFonts w:ascii="Arial" w:hAnsi="Arial" w:cs="Arial"/>
                <w:sz w:val="20"/>
                <w:szCs w:val="20"/>
              </w:rPr>
              <w:t>М</w:t>
            </w:r>
            <w:r w:rsidRPr="00D620C7">
              <w:rPr>
                <w:rFonts w:ascii="Arial" w:hAnsi="Arial" w:cs="Arial"/>
                <w:sz w:val="20"/>
                <w:szCs w:val="20"/>
                <w:lang w:val="en-US"/>
              </w:rPr>
              <w:t>.</w:t>
            </w:r>
            <w:r w:rsidRPr="00C076B2">
              <w:rPr>
                <w:rFonts w:ascii="Arial" w:hAnsi="Arial" w:cs="Arial"/>
                <w:sz w:val="20"/>
                <w:szCs w:val="20"/>
              </w:rPr>
              <w:t>П</w:t>
            </w:r>
            <w:r w:rsidRPr="00D620C7">
              <w:rPr>
                <w:rFonts w:ascii="Arial" w:hAnsi="Arial" w:cs="Arial"/>
                <w:sz w:val="20"/>
                <w:szCs w:val="20"/>
                <w:lang w:val="en-US"/>
              </w:rPr>
              <w:t>.</w:t>
            </w:r>
            <w:r w:rsidRPr="00D620C7">
              <w:rPr>
                <w:rStyle w:val="a9"/>
                <w:rFonts w:ascii="Arial" w:hAnsi="Arial" w:cs="Arial"/>
                <w:sz w:val="20"/>
                <w:szCs w:val="20"/>
                <w:lang w:val="en-US"/>
              </w:rPr>
              <w:t xml:space="preserve"> </w:t>
            </w:r>
            <w:r w:rsidRPr="00D620C7">
              <w:rPr>
                <w:rFonts w:ascii="Arial" w:hAnsi="Arial" w:cs="Arial"/>
                <w:sz w:val="20"/>
                <w:szCs w:val="20"/>
                <w:lang w:val="en-US"/>
              </w:rPr>
              <w:t>(</w:t>
            </w:r>
            <w:r w:rsidRPr="00C076B2">
              <w:rPr>
                <w:rFonts w:ascii="Arial" w:hAnsi="Arial" w:cs="Arial"/>
                <w:i/>
                <w:sz w:val="20"/>
                <w:szCs w:val="20"/>
              </w:rPr>
              <w:t>при</w:t>
            </w:r>
            <w:r w:rsidRPr="00D620C7">
              <w:rPr>
                <w:rFonts w:ascii="Arial" w:hAnsi="Arial" w:cs="Arial"/>
                <w:i/>
                <w:sz w:val="20"/>
                <w:szCs w:val="20"/>
                <w:lang w:val="en-US"/>
              </w:rPr>
              <w:t xml:space="preserve"> </w:t>
            </w:r>
            <w:r w:rsidRPr="00C076B2">
              <w:rPr>
                <w:rFonts w:ascii="Arial" w:hAnsi="Arial" w:cs="Arial"/>
                <w:i/>
                <w:sz w:val="20"/>
                <w:szCs w:val="20"/>
              </w:rPr>
              <w:t>наличии</w:t>
            </w:r>
            <w:r w:rsidRPr="00D620C7">
              <w:rPr>
                <w:rFonts w:ascii="Arial" w:hAnsi="Arial" w:cs="Arial"/>
                <w:sz w:val="20"/>
                <w:szCs w:val="20"/>
                <w:lang w:val="en-US"/>
              </w:rPr>
              <w:t>)</w:t>
            </w:r>
            <w:r>
              <w:rPr>
                <w:rFonts w:ascii="Arial" w:hAnsi="Arial" w:cs="Arial"/>
                <w:sz w:val="20"/>
                <w:szCs w:val="20"/>
                <w:lang w:val="en-US"/>
              </w:rPr>
              <w:t>/seal</w:t>
            </w:r>
            <w:r w:rsidRPr="00D620C7">
              <w:rPr>
                <w:rStyle w:val="a9"/>
                <w:rFonts w:ascii="Arial" w:hAnsi="Arial" w:cs="Arial"/>
                <w:sz w:val="20"/>
                <w:szCs w:val="20"/>
                <w:lang w:val="en-US"/>
              </w:rPr>
              <w:t xml:space="preserve"> </w:t>
            </w:r>
            <w:r w:rsidRPr="00D620C7">
              <w:rPr>
                <w:rFonts w:ascii="Arial" w:hAnsi="Arial" w:cs="Arial"/>
                <w:sz w:val="20"/>
                <w:szCs w:val="20"/>
                <w:lang w:val="en-US"/>
              </w:rPr>
              <w:t>(</w:t>
            </w:r>
            <w:r>
              <w:rPr>
                <w:rFonts w:ascii="Arial" w:hAnsi="Arial" w:cs="Arial"/>
                <w:i/>
                <w:sz w:val="20"/>
                <w:szCs w:val="20"/>
                <w:lang w:val="en-US"/>
              </w:rPr>
              <w:t>if any</w:t>
            </w:r>
            <w:r w:rsidRPr="00D620C7">
              <w:rPr>
                <w:rFonts w:ascii="Arial" w:hAnsi="Arial" w:cs="Arial"/>
                <w:sz w:val="20"/>
                <w:szCs w:val="20"/>
                <w:lang w:val="en-US"/>
              </w:rPr>
              <w:t>)</w:t>
            </w:r>
          </w:p>
        </w:tc>
      </w:tr>
      <w:tr w:rsidR="00C8159C" w:rsidRPr="00395A1F" w:rsidTr="007D59CD">
        <w:trPr>
          <w:trHeight w:val="236"/>
        </w:trPr>
        <w:tc>
          <w:tcPr>
            <w:tcW w:w="10491" w:type="dxa"/>
            <w:gridSpan w:val="2"/>
            <w:tcBorders>
              <w:top w:val="single" w:sz="4" w:space="0" w:color="auto"/>
              <w:bottom w:val="nil"/>
            </w:tcBorders>
          </w:tcPr>
          <w:p w:rsidR="00C8159C" w:rsidRPr="00D620C7" w:rsidRDefault="00C8159C" w:rsidP="00D620C7">
            <w:pPr>
              <w:pStyle w:val="Default"/>
              <w:jc w:val="right"/>
              <w:rPr>
                <w:rFonts w:ascii="Arial" w:hAnsi="Arial" w:cs="Arial"/>
                <w:b/>
                <w:sz w:val="20"/>
                <w:szCs w:val="20"/>
                <w:lang w:val="en-US"/>
              </w:rPr>
            </w:pPr>
            <w:r w:rsidRPr="00C076B2">
              <w:rPr>
                <w:rFonts w:ascii="Arial" w:hAnsi="Arial" w:cs="Arial"/>
                <w:b/>
                <w:sz w:val="20"/>
                <w:szCs w:val="20"/>
              </w:rPr>
              <w:t>Для</w:t>
            </w:r>
            <w:r w:rsidRPr="00D620C7">
              <w:rPr>
                <w:rFonts w:ascii="Arial" w:hAnsi="Arial" w:cs="Arial"/>
                <w:b/>
                <w:sz w:val="20"/>
                <w:szCs w:val="20"/>
                <w:lang w:val="en-US"/>
              </w:rPr>
              <w:t xml:space="preserve"> </w:t>
            </w:r>
            <w:r w:rsidRPr="00C076B2">
              <w:rPr>
                <w:rFonts w:ascii="Arial" w:hAnsi="Arial" w:cs="Arial"/>
                <w:b/>
                <w:sz w:val="20"/>
                <w:szCs w:val="20"/>
              </w:rPr>
              <w:t>служебных</w:t>
            </w:r>
            <w:r w:rsidRPr="00D620C7">
              <w:rPr>
                <w:rFonts w:ascii="Arial" w:hAnsi="Arial" w:cs="Arial"/>
                <w:b/>
                <w:sz w:val="20"/>
                <w:szCs w:val="20"/>
                <w:lang w:val="en-US"/>
              </w:rPr>
              <w:t xml:space="preserve"> </w:t>
            </w:r>
            <w:r w:rsidRPr="00C076B2">
              <w:rPr>
                <w:rFonts w:ascii="Arial" w:hAnsi="Arial" w:cs="Arial"/>
                <w:b/>
                <w:sz w:val="20"/>
                <w:szCs w:val="20"/>
              </w:rPr>
              <w:t>отметок</w:t>
            </w:r>
            <w:r w:rsidRPr="00D620C7">
              <w:rPr>
                <w:rFonts w:ascii="Arial" w:hAnsi="Arial" w:cs="Arial"/>
                <w:b/>
                <w:sz w:val="20"/>
                <w:szCs w:val="20"/>
                <w:lang w:val="en-US"/>
              </w:rPr>
              <w:t xml:space="preserve"> </w:t>
            </w:r>
            <w:r w:rsidRPr="00C076B2">
              <w:rPr>
                <w:rFonts w:ascii="Arial" w:hAnsi="Arial" w:cs="Arial"/>
                <w:b/>
                <w:sz w:val="20"/>
                <w:szCs w:val="20"/>
              </w:rPr>
              <w:t>Банка</w:t>
            </w:r>
            <w:r w:rsidR="00D620C7" w:rsidRPr="00D620C7">
              <w:rPr>
                <w:rFonts w:ascii="Arial" w:hAnsi="Arial" w:cs="Arial"/>
                <w:b/>
                <w:sz w:val="20"/>
                <w:szCs w:val="20"/>
                <w:lang w:val="en-US"/>
              </w:rPr>
              <w:t xml:space="preserve"> / </w:t>
            </w:r>
            <w:r w:rsidR="00D620C7">
              <w:rPr>
                <w:rFonts w:ascii="Arial" w:hAnsi="Arial" w:cs="Arial"/>
                <w:b/>
                <w:sz w:val="20"/>
                <w:szCs w:val="20"/>
                <w:lang w:val="en-US"/>
              </w:rPr>
              <w:t>For internal records of the Bank</w:t>
            </w:r>
          </w:p>
        </w:tc>
      </w:tr>
      <w:tr w:rsidR="00C8159C" w:rsidRPr="00C076B2" w:rsidTr="00AF589C">
        <w:trPr>
          <w:trHeight w:val="561"/>
        </w:trPr>
        <w:tc>
          <w:tcPr>
            <w:tcW w:w="10491" w:type="dxa"/>
            <w:gridSpan w:val="2"/>
            <w:tcBorders>
              <w:top w:val="nil"/>
            </w:tcBorders>
          </w:tcPr>
          <w:p w:rsidR="00C8159C" w:rsidRPr="00C076B2" w:rsidRDefault="00C8159C" w:rsidP="00CE75B0">
            <w:pPr>
              <w:rPr>
                <w:iCs/>
              </w:rPr>
            </w:pPr>
            <w:r w:rsidRPr="00C076B2">
              <w:t xml:space="preserve">Заявление предоставлено </w:t>
            </w:r>
            <w:r w:rsidRPr="00C076B2">
              <w:rPr>
                <w:iCs/>
              </w:rPr>
              <w:t>в ____________________________________________________________________</w:t>
            </w:r>
          </w:p>
          <w:p w:rsidR="00C8159C" w:rsidRPr="00C076B2" w:rsidRDefault="00C8159C" w:rsidP="00BF56CF">
            <w:r w:rsidRPr="00C076B2">
              <w:rPr>
                <w:bCs/>
                <w:i/>
                <w:iCs/>
              </w:rPr>
              <w:t xml:space="preserve">                              (сокращенное наименование подразделения Банка)</w:t>
            </w:r>
          </w:p>
          <w:p w:rsidR="00C8159C" w:rsidRPr="00C076B2" w:rsidRDefault="00C8159C" w:rsidP="00CE75B0">
            <w:r w:rsidRPr="00C076B2">
              <w:t xml:space="preserve"> </w:t>
            </w:r>
          </w:p>
        </w:tc>
      </w:tr>
      <w:tr w:rsidR="00C8159C" w:rsidRPr="00C076B2" w:rsidTr="0022074E">
        <w:trPr>
          <w:trHeight w:val="721"/>
        </w:trPr>
        <w:tc>
          <w:tcPr>
            <w:tcW w:w="10491" w:type="dxa"/>
            <w:gridSpan w:val="2"/>
          </w:tcPr>
          <w:p w:rsidR="00C8159C" w:rsidRPr="00C076B2" w:rsidRDefault="00C8159C" w:rsidP="00BF56CF">
            <w:pPr>
              <w:keepNext/>
              <w:jc w:val="both"/>
              <w:outlineLvl w:val="7"/>
            </w:pPr>
            <w:r w:rsidRPr="00C076B2">
              <w:t>Документы, необходимые для заключения договора о брокерском обслуживании, проверил, принял</w:t>
            </w:r>
          </w:p>
          <w:p w:rsidR="00C8159C" w:rsidRPr="00C076B2" w:rsidRDefault="00C8159C" w:rsidP="00BF56CF">
            <w:pPr>
              <w:ind w:left="567" w:hanging="567"/>
            </w:pPr>
            <w:r w:rsidRPr="00C076B2">
              <w:t>__________________________________ /_________________________</w:t>
            </w:r>
          </w:p>
          <w:p w:rsidR="00C8159C" w:rsidRPr="00C076B2" w:rsidRDefault="00C8159C" w:rsidP="00BF56CF">
            <w:pPr>
              <w:keepNext/>
              <w:jc w:val="both"/>
              <w:outlineLvl w:val="7"/>
              <w:rPr>
                <w:iCs/>
              </w:rPr>
            </w:pPr>
            <w:r w:rsidRPr="00C076B2">
              <w:t xml:space="preserve">     (</w:t>
            </w:r>
            <w:r w:rsidRPr="00C076B2">
              <w:rPr>
                <w:i/>
              </w:rPr>
              <w:t>Код или Ф.И.О. работника</w:t>
            </w:r>
            <w:r w:rsidRPr="00C076B2">
              <w:t>)                                (</w:t>
            </w:r>
            <w:r w:rsidRPr="00C076B2">
              <w:rPr>
                <w:i/>
              </w:rPr>
              <w:t>подпись работника</w:t>
            </w:r>
            <w:r w:rsidRPr="00C076B2">
              <w:t>)</w:t>
            </w:r>
          </w:p>
          <w:p w:rsidR="00C8159C" w:rsidRPr="00C076B2" w:rsidRDefault="00C8159C" w:rsidP="00BF56CF">
            <w:pPr>
              <w:keepNext/>
              <w:jc w:val="both"/>
              <w:outlineLvl w:val="7"/>
            </w:pPr>
          </w:p>
        </w:tc>
      </w:tr>
      <w:tr w:rsidR="00C8159C" w:rsidRPr="00C076B2" w:rsidTr="004C63CD">
        <w:trPr>
          <w:trHeight w:val="396"/>
        </w:trPr>
        <w:tc>
          <w:tcPr>
            <w:tcW w:w="10491" w:type="dxa"/>
            <w:gridSpan w:val="2"/>
          </w:tcPr>
          <w:p w:rsidR="00C8159C" w:rsidRPr="00C076B2" w:rsidRDefault="00C8159C" w:rsidP="00456BE3">
            <w:r w:rsidRPr="00C076B2">
              <w:t>Заявление получено «___» _______________ ______ г.  в ____:____:____ московского времени</w:t>
            </w:r>
          </w:p>
        </w:tc>
      </w:tr>
      <w:tr w:rsidR="00C8159C" w:rsidRPr="00C076B2" w:rsidTr="00A2713E">
        <w:trPr>
          <w:trHeight w:val="571"/>
        </w:trPr>
        <w:tc>
          <w:tcPr>
            <w:tcW w:w="10491" w:type="dxa"/>
            <w:gridSpan w:val="2"/>
          </w:tcPr>
          <w:p w:rsidR="00C8159C" w:rsidRPr="00C076B2" w:rsidRDefault="00C8159C" w:rsidP="00BF56CF">
            <w:pPr>
              <w:ind w:left="567" w:hanging="567"/>
            </w:pPr>
            <w:r w:rsidRPr="00C076B2">
              <w:t xml:space="preserve">Заявление зарегистрировано </w:t>
            </w:r>
          </w:p>
          <w:p w:rsidR="00C8159C" w:rsidRPr="00C076B2" w:rsidRDefault="00C8159C" w:rsidP="00BF56CF">
            <w:pPr>
              <w:ind w:left="567" w:hanging="567"/>
            </w:pPr>
            <w:r w:rsidRPr="00C076B2">
              <w:t>__________________________________ /_________________________</w:t>
            </w:r>
          </w:p>
          <w:p w:rsidR="00C8159C" w:rsidRPr="00C076B2" w:rsidRDefault="00C8159C" w:rsidP="00BF56CF">
            <w:pPr>
              <w:ind w:left="567" w:hanging="567"/>
            </w:pPr>
            <w:r w:rsidRPr="00C076B2">
              <w:t xml:space="preserve">      (</w:t>
            </w:r>
            <w:r w:rsidRPr="00C076B2">
              <w:rPr>
                <w:i/>
              </w:rPr>
              <w:t>Код или Ф.И.О. работника</w:t>
            </w:r>
            <w:r w:rsidRPr="00C076B2">
              <w:t>)                                     (</w:t>
            </w:r>
            <w:r w:rsidRPr="00C076B2">
              <w:rPr>
                <w:i/>
              </w:rPr>
              <w:t>подпись работника</w:t>
            </w:r>
            <w:r w:rsidRPr="00C076B2">
              <w:t>)</w:t>
            </w:r>
          </w:p>
        </w:tc>
      </w:tr>
    </w:tbl>
    <w:p w:rsidR="00094BA7" w:rsidRPr="00C076B2" w:rsidRDefault="00094BA7" w:rsidP="004D669E"/>
    <w:sectPr w:rsidR="00094BA7" w:rsidRPr="00C076B2">
      <w:headerReference w:type="default"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7AC" w:rsidRDefault="001C37AC" w:rsidP="00B4516A">
      <w:r>
        <w:separator/>
      </w:r>
    </w:p>
  </w:endnote>
  <w:endnote w:type="continuationSeparator" w:id="0">
    <w:p w:rsidR="001C37AC" w:rsidRDefault="001C37AC" w:rsidP="00B4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Console">
    <w:panose1 w:val="020B0609040504020204"/>
    <w:charset w:val="CC"/>
    <w:family w:val="modern"/>
    <w:pitch w:val="fixed"/>
    <w:sig w:usb0="8000028F" w:usb1="00001800" w:usb2="00000000" w:usb3="00000000" w:csb0="0000001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963139"/>
      <w:docPartObj>
        <w:docPartGallery w:val="Page Numbers (Bottom of Page)"/>
        <w:docPartUnique/>
      </w:docPartObj>
    </w:sdtPr>
    <w:sdtEndPr/>
    <w:sdtContent>
      <w:p w:rsidR="00954254" w:rsidRDefault="00954254">
        <w:pPr>
          <w:pStyle w:val="af7"/>
          <w:jc w:val="right"/>
        </w:pPr>
        <w:r>
          <w:fldChar w:fldCharType="begin"/>
        </w:r>
        <w:r>
          <w:instrText>PAGE   \* MERGEFORMAT</w:instrText>
        </w:r>
        <w:r>
          <w:fldChar w:fldCharType="separate"/>
        </w:r>
        <w:r w:rsidR="00ED47AF">
          <w:rPr>
            <w:noProof/>
          </w:rPr>
          <w:t>6</w:t>
        </w:r>
        <w:r>
          <w:fldChar w:fldCharType="end"/>
        </w:r>
      </w:p>
    </w:sdtContent>
  </w:sdt>
  <w:p w:rsidR="003E03F9" w:rsidRDefault="003E03F9">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7AC" w:rsidRDefault="001C37AC" w:rsidP="00B4516A">
      <w:r>
        <w:separator/>
      </w:r>
    </w:p>
  </w:footnote>
  <w:footnote w:type="continuationSeparator" w:id="0">
    <w:p w:rsidR="001C37AC" w:rsidRDefault="001C37AC" w:rsidP="00B4516A">
      <w:r>
        <w:continuationSeparator/>
      </w:r>
    </w:p>
  </w:footnote>
  <w:footnote w:id="1">
    <w:p w:rsidR="005C10D2" w:rsidRPr="00ED47AF" w:rsidRDefault="005C10D2" w:rsidP="00ED47AF">
      <w:pPr>
        <w:pStyle w:val="a7"/>
        <w:ind w:left="-851"/>
        <w:rPr>
          <w:sz w:val="16"/>
          <w:szCs w:val="16"/>
        </w:rPr>
      </w:pPr>
      <w:r w:rsidRPr="00ED47AF">
        <w:rPr>
          <w:rStyle w:val="a9"/>
          <w:sz w:val="16"/>
          <w:szCs w:val="16"/>
        </w:rPr>
        <w:footnoteRef/>
      </w:r>
      <w:r w:rsidRPr="00ED47AF">
        <w:rPr>
          <w:sz w:val="16"/>
          <w:szCs w:val="16"/>
        </w:rPr>
        <w:t xml:space="preserve"> Под третьими лицами понимаются лица, заключившие с Банком договор, обеспечивающий соблюдение требований Федерального закона от 27.07.2006 № 152-ФЗ «О персональных данных»./ </w:t>
      </w:r>
      <w:r w:rsidRPr="00ED47AF">
        <w:rPr>
          <w:sz w:val="16"/>
          <w:szCs w:val="16"/>
          <w:lang w:val="en-US"/>
        </w:rPr>
        <w:t xml:space="preserve">Third parties are understood as persons who have entered into an agreement with the Bank that ensures compliance with the requirements of Federal Law No. 152-FZ dated 27.07. </w:t>
      </w:r>
      <w:r w:rsidRPr="00ED47AF">
        <w:rPr>
          <w:sz w:val="16"/>
          <w:szCs w:val="16"/>
        </w:rPr>
        <w:t>2006 "</w:t>
      </w:r>
      <w:r w:rsidRPr="00ED47AF">
        <w:rPr>
          <w:sz w:val="16"/>
          <w:szCs w:val="16"/>
          <w:lang w:val="en-US"/>
        </w:rPr>
        <w:t>On</w:t>
      </w:r>
      <w:r w:rsidRPr="00ED47AF">
        <w:rPr>
          <w:sz w:val="16"/>
          <w:szCs w:val="16"/>
        </w:rPr>
        <w:t xml:space="preserve"> </w:t>
      </w:r>
      <w:r w:rsidRPr="00ED47AF">
        <w:rPr>
          <w:sz w:val="16"/>
          <w:szCs w:val="16"/>
          <w:lang w:val="en-US"/>
        </w:rPr>
        <w:t>Personal</w:t>
      </w:r>
      <w:r w:rsidRPr="00ED47AF">
        <w:rPr>
          <w:sz w:val="16"/>
          <w:szCs w:val="16"/>
        </w:rPr>
        <w:t xml:space="preserve"> </w:t>
      </w:r>
      <w:r w:rsidRPr="00ED47AF">
        <w:rPr>
          <w:sz w:val="16"/>
          <w:szCs w:val="16"/>
          <w:lang w:val="en-US"/>
        </w:rPr>
        <w:t>Data</w:t>
      </w:r>
      <w:r w:rsidRPr="00ED47AF">
        <w:rPr>
          <w:sz w:val="16"/>
          <w:szCs w:val="16"/>
        </w:rPr>
        <w:t>"</w:t>
      </w:r>
    </w:p>
  </w:footnote>
  <w:footnote w:id="2">
    <w:p w:rsidR="00C8159C" w:rsidRPr="00ED47AF" w:rsidRDefault="00C8159C" w:rsidP="00ED47AF">
      <w:pPr>
        <w:pStyle w:val="a7"/>
        <w:ind w:left="-851"/>
        <w:jc w:val="both"/>
        <w:rPr>
          <w:sz w:val="16"/>
          <w:szCs w:val="16"/>
          <w:lang w:val="en-US"/>
        </w:rPr>
      </w:pPr>
      <w:r w:rsidRPr="00ED47AF">
        <w:rPr>
          <w:rStyle w:val="a9"/>
          <w:sz w:val="16"/>
          <w:szCs w:val="16"/>
        </w:rPr>
        <w:footnoteRef/>
      </w:r>
      <w:r w:rsidRPr="00ED47AF">
        <w:rPr>
          <w:sz w:val="16"/>
          <w:szCs w:val="16"/>
        </w:rPr>
        <w:t xml:space="preserve"> Отдельный денежный счет в Банке для учета денежных средств Инвестора, предназначенных для операций, совершаемых на основании договора о брокерском обслуживании./ </w:t>
      </w:r>
      <w:r w:rsidRPr="00ED47AF">
        <w:rPr>
          <w:sz w:val="16"/>
          <w:szCs w:val="16"/>
          <w:lang w:val="en-US"/>
        </w:rPr>
        <w:t>A cash account with the Bank to account for the Investor's funds to make operations under the Brokerage Service Agreement.</w:t>
      </w:r>
    </w:p>
  </w:footnote>
  <w:footnote w:id="3">
    <w:p w:rsidR="00D620C7" w:rsidRPr="00ED47AF" w:rsidRDefault="00D620C7" w:rsidP="00ED47AF">
      <w:pPr>
        <w:pStyle w:val="a7"/>
        <w:ind w:left="-851"/>
        <w:jc w:val="both"/>
        <w:rPr>
          <w:sz w:val="16"/>
          <w:szCs w:val="16"/>
          <w:lang w:val="en-US"/>
        </w:rPr>
      </w:pPr>
      <w:r w:rsidRPr="00ED47AF">
        <w:rPr>
          <w:rStyle w:val="a9"/>
          <w:sz w:val="16"/>
          <w:szCs w:val="16"/>
        </w:rPr>
        <w:footnoteRef/>
      </w:r>
      <w:r w:rsidRPr="00ED47AF">
        <w:rPr>
          <w:sz w:val="16"/>
          <w:szCs w:val="16"/>
        </w:rPr>
        <w:t xml:space="preserve"> Для целей обработки персональных данных./ </w:t>
      </w:r>
      <w:r w:rsidRPr="00ED47AF">
        <w:rPr>
          <w:sz w:val="16"/>
          <w:szCs w:val="16"/>
          <w:lang w:val="en-US"/>
        </w:rPr>
        <w:t>For the purposes of personal data processing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F9" w:rsidRDefault="003E03F9">
    <w:pPr>
      <w:pStyle w:val="af5"/>
    </w:pPr>
    <w:r>
      <w:rPr>
        <w:noProof/>
      </w:rPr>
      <w:drawing>
        <wp:inline distT="0" distB="0" distL="0" distR="0" wp14:anchorId="35402413" wp14:editId="78B4BB0D">
          <wp:extent cx="1990725" cy="381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796C66"/>
    <w:multiLevelType w:val="hybridMultilevel"/>
    <w:tmpl w:val="9D72DF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8AC5F26"/>
    <w:multiLevelType w:val="hybridMultilevel"/>
    <w:tmpl w:val="1E063AB8"/>
    <w:lvl w:ilvl="0" w:tplc="A79E0CB4">
      <w:start w:val="1"/>
      <w:numFmt w:val="bullet"/>
      <w:lvlText w:val="-"/>
      <w:lvlJc w:val="left"/>
      <w:pPr>
        <w:ind w:left="720" w:hanging="360"/>
      </w:pPr>
      <w:rPr>
        <w:rFonts w:ascii="Lucida Console" w:hAnsi="Lucida Console"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70"/>
    <w:rsid w:val="000234F6"/>
    <w:rsid w:val="00073396"/>
    <w:rsid w:val="00094BA7"/>
    <w:rsid w:val="000F5DB2"/>
    <w:rsid w:val="001C37AC"/>
    <w:rsid w:val="002248E4"/>
    <w:rsid w:val="002845EC"/>
    <w:rsid w:val="00382A25"/>
    <w:rsid w:val="00395A1F"/>
    <w:rsid w:val="003C5EC1"/>
    <w:rsid w:val="003E03F9"/>
    <w:rsid w:val="00456BE3"/>
    <w:rsid w:val="00480EC3"/>
    <w:rsid w:val="004D669E"/>
    <w:rsid w:val="004E7E8D"/>
    <w:rsid w:val="005216F1"/>
    <w:rsid w:val="005C10D2"/>
    <w:rsid w:val="006C5E91"/>
    <w:rsid w:val="006D1203"/>
    <w:rsid w:val="00831141"/>
    <w:rsid w:val="0092594E"/>
    <w:rsid w:val="00930B55"/>
    <w:rsid w:val="00954254"/>
    <w:rsid w:val="0097325B"/>
    <w:rsid w:val="00A00CAD"/>
    <w:rsid w:val="00A11680"/>
    <w:rsid w:val="00A801D7"/>
    <w:rsid w:val="00A8620E"/>
    <w:rsid w:val="00AA66A7"/>
    <w:rsid w:val="00B4516A"/>
    <w:rsid w:val="00B70353"/>
    <w:rsid w:val="00B81A45"/>
    <w:rsid w:val="00BC249B"/>
    <w:rsid w:val="00BC3CEE"/>
    <w:rsid w:val="00BD7148"/>
    <w:rsid w:val="00BE67BB"/>
    <w:rsid w:val="00C076B2"/>
    <w:rsid w:val="00C7434D"/>
    <w:rsid w:val="00C8159C"/>
    <w:rsid w:val="00C8230C"/>
    <w:rsid w:val="00CE75B0"/>
    <w:rsid w:val="00D30DB0"/>
    <w:rsid w:val="00D31582"/>
    <w:rsid w:val="00D620C7"/>
    <w:rsid w:val="00D73F41"/>
    <w:rsid w:val="00D97E95"/>
    <w:rsid w:val="00E07662"/>
    <w:rsid w:val="00E17828"/>
    <w:rsid w:val="00E31E85"/>
    <w:rsid w:val="00E40B9F"/>
    <w:rsid w:val="00E62EE9"/>
    <w:rsid w:val="00E97BC6"/>
    <w:rsid w:val="00EA4D15"/>
    <w:rsid w:val="00EB3E7C"/>
    <w:rsid w:val="00ED034B"/>
    <w:rsid w:val="00ED47AF"/>
    <w:rsid w:val="00F119C0"/>
    <w:rsid w:val="00F31570"/>
    <w:rsid w:val="00F64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90AB65"/>
  <w15:docId w15:val="{7B0F4BFB-31D8-43C9-B365-93598173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20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heading 2"/>
    <w:basedOn w:val="a"/>
    <w:next w:val="a"/>
    <w:link w:val="20"/>
    <w:uiPriority w:val="99"/>
    <w:qFormat/>
    <w:rsid w:val="00480EC3"/>
    <w:pPr>
      <w:keepNext/>
      <w:widowControl/>
      <w:numPr>
        <w:ilvl w:val="12"/>
      </w:numPr>
      <w:autoSpaceDE/>
      <w:autoSpaceDN/>
      <w:adjustRightInd/>
      <w:jc w:val="center"/>
      <w:outlineLvl w:val="1"/>
    </w:pPr>
    <w:rPr>
      <w:rFonts w:ascii="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1570"/>
    <w:pPr>
      <w:autoSpaceDE w:val="0"/>
      <w:autoSpaceDN w:val="0"/>
      <w:adjustRightInd w:val="0"/>
      <w:spacing w:after="0" w:line="240" w:lineRule="auto"/>
    </w:pPr>
    <w:rPr>
      <w:rFonts w:ascii="Garamond" w:hAnsi="Garamond" w:cs="Garamond"/>
      <w:color w:val="000000"/>
      <w:sz w:val="24"/>
      <w:szCs w:val="24"/>
    </w:rPr>
  </w:style>
  <w:style w:type="paragraph" w:styleId="a3">
    <w:name w:val="Balloon Text"/>
    <w:basedOn w:val="a"/>
    <w:link w:val="a4"/>
    <w:uiPriority w:val="99"/>
    <w:semiHidden/>
    <w:unhideWhenUsed/>
    <w:rsid w:val="006D1203"/>
    <w:rPr>
      <w:rFonts w:ascii="Tahoma" w:hAnsi="Tahoma" w:cs="Tahoma"/>
      <w:sz w:val="16"/>
      <w:szCs w:val="16"/>
    </w:rPr>
  </w:style>
  <w:style w:type="character" w:customStyle="1" w:styleId="a4">
    <w:name w:val="Текст выноски Знак"/>
    <w:basedOn w:val="a0"/>
    <w:link w:val="a3"/>
    <w:uiPriority w:val="99"/>
    <w:semiHidden/>
    <w:rsid w:val="006D1203"/>
    <w:rPr>
      <w:rFonts w:ascii="Tahoma" w:hAnsi="Tahoma" w:cs="Tahoma"/>
      <w:sz w:val="16"/>
      <w:szCs w:val="16"/>
    </w:rPr>
  </w:style>
  <w:style w:type="paragraph" w:styleId="a5">
    <w:name w:val="Block Text"/>
    <w:basedOn w:val="a"/>
    <w:rsid w:val="006D1203"/>
    <w:pPr>
      <w:shd w:val="clear" w:color="auto" w:fill="FFFFFF"/>
      <w:tabs>
        <w:tab w:val="left" w:pos="-851"/>
        <w:tab w:val="left" w:pos="-567"/>
      </w:tabs>
      <w:ind w:left="28" w:right="6" w:hanging="28"/>
      <w:jc w:val="both"/>
    </w:pPr>
    <w:rPr>
      <w:color w:val="000000"/>
      <w:sz w:val="24"/>
      <w:szCs w:val="24"/>
    </w:rPr>
  </w:style>
  <w:style w:type="paragraph" w:styleId="a6">
    <w:name w:val="List Paragraph"/>
    <w:basedOn w:val="a"/>
    <w:uiPriority w:val="34"/>
    <w:qFormat/>
    <w:rsid w:val="006D1203"/>
    <w:pPr>
      <w:ind w:left="708"/>
    </w:pPr>
  </w:style>
  <w:style w:type="paragraph" w:styleId="a7">
    <w:name w:val="footnote text"/>
    <w:basedOn w:val="a"/>
    <w:link w:val="a8"/>
    <w:uiPriority w:val="99"/>
    <w:rsid w:val="00B4516A"/>
  </w:style>
  <w:style w:type="character" w:customStyle="1" w:styleId="a8">
    <w:name w:val="Текст сноски Знак"/>
    <w:basedOn w:val="a0"/>
    <w:link w:val="a7"/>
    <w:uiPriority w:val="99"/>
    <w:rsid w:val="00B4516A"/>
    <w:rPr>
      <w:rFonts w:ascii="Arial" w:eastAsia="Times New Roman" w:hAnsi="Arial" w:cs="Arial"/>
      <w:sz w:val="20"/>
      <w:szCs w:val="20"/>
      <w:lang w:eastAsia="ru-RU"/>
    </w:rPr>
  </w:style>
  <w:style w:type="character" w:styleId="a9">
    <w:name w:val="footnote reference"/>
    <w:uiPriority w:val="99"/>
    <w:rsid w:val="00B4516A"/>
    <w:rPr>
      <w:vertAlign w:val="superscript"/>
    </w:rPr>
  </w:style>
  <w:style w:type="table" w:styleId="aa">
    <w:name w:val="Table Grid"/>
    <w:basedOn w:val="a1"/>
    <w:uiPriority w:val="59"/>
    <w:rsid w:val="00B451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A8620E"/>
    <w:rPr>
      <w:color w:val="0000FF"/>
      <w:u w:val="single"/>
    </w:rPr>
  </w:style>
  <w:style w:type="paragraph" w:styleId="ac">
    <w:name w:val="Body Text"/>
    <w:basedOn w:val="a"/>
    <w:link w:val="ad"/>
    <w:uiPriority w:val="99"/>
    <w:semiHidden/>
    <w:unhideWhenUsed/>
    <w:rsid w:val="004D669E"/>
    <w:pPr>
      <w:spacing w:after="120"/>
    </w:pPr>
  </w:style>
  <w:style w:type="character" w:customStyle="1" w:styleId="ad">
    <w:name w:val="Основной текст Знак"/>
    <w:basedOn w:val="a0"/>
    <w:link w:val="ac"/>
    <w:uiPriority w:val="99"/>
    <w:semiHidden/>
    <w:rsid w:val="004D669E"/>
    <w:rPr>
      <w:rFonts w:ascii="Arial" w:eastAsia="Times New Roman" w:hAnsi="Arial" w:cs="Arial"/>
      <w:sz w:val="20"/>
      <w:szCs w:val="20"/>
      <w:lang w:eastAsia="ru-RU"/>
    </w:rPr>
  </w:style>
  <w:style w:type="paragraph" w:styleId="ae">
    <w:name w:val="Body Text First Indent"/>
    <w:basedOn w:val="ac"/>
    <w:link w:val="af"/>
    <w:rsid w:val="004D669E"/>
    <w:pPr>
      <w:widowControl/>
      <w:overflowPunct w:val="0"/>
      <w:ind w:firstLine="210"/>
      <w:jc w:val="both"/>
      <w:textAlignment w:val="baseline"/>
    </w:pPr>
    <w:rPr>
      <w:rFonts w:ascii="Times New Roman" w:hAnsi="Times New Roman" w:cs="Times New Roman"/>
      <w:lang w:eastAsia="en-US"/>
    </w:rPr>
  </w:style>
  <w:style w:type="character" w:customStyle="1" w:styleId="af">
    <w:name w:val="Красная строка Знак"/>
    <w:basedOn w:val="ad"/>
    <w:link w:val="ae"/>
    <w:rsid w:val="004D669E"/>
    <w:rPr>
      <w:rFonts w:ascii="Times New Roman" w:eastAsia="Times New Roman" w:hAnsi="Times New Roman" w:cs="Times New Roman"/>
      <w:sz w:val="20"/>
      <w:szCs w:val="20"/>
      <w:lang w:eastAsia="ru-RU"/>
    </w:rPr>
  </w:style>
  <w:style w:type="character" w:styleId="af0">
    <w:name w:val="annotation reference"/>
    <w:basedOn w:val="a0"/>
    <w:uiPriority w:val="99"/>
    <w:semiHidden/>
    <w:unhideWhenUsed/>
    <w:rsid w:val="00E62EE9"/>
    <w:rPr>
      <w:sz w:val="16"/>
      <w:szCs w:val="16"/>
    </w:rPr>
  </w:style>
  <w:style w:type="paragraph" w:styleId="af1">
    <w:name w:val="annotation text"/>
    <w:basedOn w:val="a"/>
    <w:link w:val="af2"/>
    <w:uiPriority w:val="99"/>
    <w:semiHidden/>
    <w:unhideWhenUsed/>
    <w:rsid w:val="00E62EE9"/>
  </w:style>
  <w:style w:type="character" w:customStyle="1" w:styleId="af2">
    <w:name w:val="Текст примечания Знак"/>
    <w:basedOn w:val="a0"/>
    <w:link w:val="af1"/>
    <w:uiPriority w:val="99"/>
    <w:semiHidden/>
    <w:rsid w:val="00E62EE9"/>
    <w:rPr>
      <w:rFonts w:ascii="Arial" w:eastAsia="Times New Roman" w:hAnsi="Arial" w:cs="Arial"/>
      <w:sz w:val="20"/>
      <w:szCs w:val="20"/>
      <w:lang w:eastAsia="ru-RU"/>
    </w:rPr>
  </w:style>
  <w:style w:type="paragraph" w:styleId="af3">
    <w:name w:val="annotation subject"/>
    <w:basedOn w:val="af1"/>
    <w:next w:val="af1"/>
    <w:link w:val="af4"/>
    <w:uiPriority w:val="99"/>
    <w:semiHidden/>
    <w:unhideWhenUsed/>
    <w:rsid w:val="00E62EE9"/>
    <w:rPr>
      <w:b/>
      <w:bCs/>
    </w:rPr>
  </w:style>
  <w:style w:type="character" w:customStyle="1" w:styleId="af4">
    <w:name w:val="Тема примечания Знак"/>
    <w:basedOn w:val="af2"/>
    <w:link w:val="af3"/>
    <w:uiPriority w:val="99"/>
    <w:semiHidden/>
    <w:rsid w:val="00E62EE9"/>
    <w:rPr>
      <w:rFonts w:ascii="Arial" w:eastAsia="Times New Roman" w:hAnsi="Arial" w:cs="Arial"/>
      <w:b/>
      <w:bCs/>
      <w:sz w:val="20"/>
      <w:szCs w:val="20"/>
      <w:lang w:eastAsia="ru-RU"/>
    </w:rPr>
  </w:style>
  <w:style w:type="paragraph" w:styleId="af5">
    <w:name w:val="header"/>
    <w:basedOn w:val="a"/>
    <w:link w:val="af6"/>
    <w:uiPriority w:val="99"/>
    <w:unhideWhenUsed/>
    <w:rsid w:val="003E03F9"/>
    <w:pPr>
      <w:tabs>
        <w:tab w:val="center" w:pos="4677"/>
        <w:tab w:val="right" w:pos="9355"/>
      </w:tabs>
    </w:pPr>
  </w:style>
  <w:style w:type="character" w:customStyle="1" w:styleId="af6">
    <w:name w:val="Верхний колонтитул Знак"/>
    <w:basedOn w:val="a0"/>
    <w:link w:val="af5"/>
    <w:uiPriority w:val="99"/>
    <w:rsid w:val="003E03F9"/>
    <w:rPr>
      <w:rFonts w:ascii="Arial" w:eastAsia="Times New Roman" w:hAnsi="Arial" w:cs="Arial"/>
      <w:sz w:val="20"/>
      <w:szCs w:val="20"/>
      <w:lang w:eastAsia="ru-RU"/>
    </w:rPr>
  </w:style>
  <w:style w:type="paragraph" w:styleId="af7">
    <w:name w:val="footer"/>
    <w:basedOn w:val="a"/>
    <w:link w:val="af8"/>
    <w:uiPriority w:val="99"/>
    <w:unhideWhenUsed/>
    <w:rsid w:val="003E03F9"/>
    <w:pPr>
      <w:tabs>
        <w:tab w:val="center" w:pos="4677"/>
        <w:tab w:val="right" w:pos="9355"/>
      </w:tabs>
    </w:pPr>
  </w:style>
  <w:style w:type="character" w:customStyle="1" w:styleId="af8">
    <w:name w:val="Нижний колонтитул Знак"/>
    <w:basedOn w:val="a0"/>
    <w:link w:val="af7"/>
    <w:uiPriority w:val="99"/>
    <w:rsid w:val="003E03F9"/>
    <w:rPr>
      <w:rFonts w:ascii="Arial" w:eastAsia="Times New Roman" w:hAnsi="Arial" w:cs="Arial"/>
      <w:sz w:val="20"/>
      <w:szCs w:val="20"/>
      <w:lang w:eastAsia="ru-RU"/>
    </w:rPr>
  </w:style>
  <w:style w:type="character" w:customStyle="1" w:styleId="20">
    <w:name w:val="Заголовок 2 Знак"/>
    <w:basedOn w:val="a0"/>
    <w:link w:val="2"/>
    <w:uiPriority w:val="99"/>
    <w:rsid w:val="00480EC3"/>
    <w:rPr>
      <w:rFonts w:ascii="Times New Roman" w:eastAsia="Times New Roman" w:hAnsi="Times New Roman" w:cs="Times New Roman"/>
      <w:b/>
      <w:bCs/>
      <w:sz w:val="24"/>
      <w:szCs w:val="24"/>
    </w:rPr>
  </w:style>
  <w:style w:type="paragraph" w:styleId="21">
    <w:name w:val="Body Text 2"/>
    <w:basedOn w:val="a"/>
    <w:link w:val="22"/>
    <w:uiPriority w:val="99"/>
    <w:semiHidden/>
    <w:unhideWhenUsed/>
    <w:rsid w:val="00EA4D15"/>
    <w:pPr>
      <w:spacing w:after="120" w:line="480" w:lineRule="auto"/>
    </w:pPr>
  </w:style>
  <w:style w:type="character" w:customStyle="1" w:styleId="22">
    <w:name w:val="Основной текст 2 Знак"/>
    <w:basedOn w:val="a0"/>
    <w:link w:val="21"/>
    <w:uiPriority w:val="99"/>
    <w:semiHidden/>
    <w:rsid w:val="00EA4D15"/>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osbank.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osbank.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osbank.ru" TargetMode="External"/><Relationship Id="rId5" Type="http://schemas.openxmlformats.org/officeDocument/2006/relationships/styles" Target="styles.xml"/><Relationship Id="rId15" Type="http://schemas.openxmlformats.org/officeDocument/2006/relationships/hyperlink" Target="http://www.rosbank.ru" TargetMode="External"/><Relationship Id="rId10" Type="http://schemas.openxmlformats.org/officeDocument/2006/relationships/hyperlink" Target="http://www.rosbank.r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osbank.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PC9zaXNsPjxVc2VyTmFtZT5ST1NCQU5LXHJiMDA0MzUxPC9Vc2VyTmFtZT48RGF0ZVRpbWU+MDMuMDkuMjAxOCAxMjoyODozNTwvRGF0ZVRpbWU+PExhYmVsU3RyaW5nPkMwIHwgJiN4NDFFOyYjeDQzMTsmI3g0NDk7JiN4NDM1OyYjeDQzNDsmI3g0M0U7JiN4NDQxOyYjeDQ0MjsmI3g0NDM7JiN4NDNGOyYjeDQzRDsmI3g0MzA7JiN4NDRGOyAmI3g0Mzg7JiN4NDNEOyYjeDQ0NDsmI3g0M0U7JiN4NDQwOyYjeDQzQzsmI3g0MzA7JiN4NDQ2OyYjeDQzODsmI3g0NEY7PC9MYWJlbFN0cmluZz48L2l0ZW0+PC9sYWJlbEhpc3Rvcnk+</Value>
</WrappedLabelHistory>
</file>

<file path=customXml/item2.xml><?xml version="1.0" encoding="utf-8"?>
<sisl xmlns:xsi="http://www.w3.org/2001/XMLSchema-instance" xmlns:xsd="http://www.w3.org/2001/XMLSchema" xmlns="http://www.boldonjames.com/2008/01/sie/internal/label" sislVersion="0" policy="bd5b5c17-ff0e-4a45-8ade-b1db9e1fb804" origin="userSelected">
  <element uid="id_classification_nonbusiness"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F2D1B-5BC9-4799-BF64-31DEBF774058}">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FFF87F23-C664-4C5D-923A-76093A8CB3E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41E75176-D1A7-4D84-ACD1-33356A137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3751</Words>
  <Characters>21385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ROSBANK</Company>
  <LinksUpToDate>false</LinksUpToDate>
  <CharactersWithSpaces>25086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 Вадим Александрович</dc:creator>
  <dc:description>C0 - Public |j,llsaj12398**C0)knasdals|</dc:description>
  <cp:lastModifiedBy>Fayzullin Ruslan Legal</cp:lastModifiedBy>
  <cp:revision>20</cp:revision>
  <dcterms:created xsi:type="dcterms:W3CDTF">2018-09-20T11:39:00Z</dcterms:created>
  <dcterms:modified xsi:type="dcterms:W3CDTF">2019-07-30T13:44:00Z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a1d068f3-3447-436c-9bc6-0259f356b843</vt:lpwstr>
  </property>
  <property fmtid="{D5CDD505-2E9C-101B-9397-08002B2CF9AE}" pid="3" name="bjSaver">
    <vt:lpwstr>YDsV6I3Gx0CULCKbbY9HKnpANS9J1aM2</vt:lpwstr>
  </property>
  <property fmtid="{D5CDD505-2E9C-101B-9397-08002B2CF9AE}" pid="4" name="bjDocumentLabelXML">
    <vt:lpwstr>&lt;?xml version="1.0" encoding="us-ascii"?&gt;&lt;sisl xmlns:xsi="http://www.w3.org/2001/XMLSchema-instance" xmlns:xsd="http://www.w3.org/2001/XMLSchema" sislVersion="0" policy="bd5b5c17-ff0e-4a45-8ade-b1db9e1fb804"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C0 | Общедоступная информация</vt:lpwstr>
  </property>
  <property fmtid="{D5CDD505-2E9C-101B-9397-08002B2CF9AE}" pid="7" name="bjLabelHistoryID">
    <vt:lpwstr>{30DF2D1B-5BC9-4799-BF64-31DEBF774058}</vt:lpwstr>
  </property>
</Properties>
</file>